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9155E4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3056416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D6B9E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5pt,15.9pt" to="276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OaYwy7eAAAACQEAAA8AAAAAAAAAAAAAAAAAewQAAGRycy9kb3ducmV2&#10;LnhtbFBLBQYAAAAABAAEAPMAAACGBQAAAAA=&#10;"/>
            </w:pict>
          </mc:Fallback>
        </mc:AlternateContent>
      </w:r>
      <w:r w:rsidR="005309AA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9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265F0E">
        <w:rPr>
          <w:rFonts w:cs="Sylfaen"/>
          <w:noProof/>
          <w:color w:val="000000"/>
          <w:sz w:val="22"/>
          <w:lang w:val="af-ZA"/>
        </w:rPr>
        <w:t>23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595F0F">
        <w:rPr>
          <w:rFonts w:cs="Sylfaen"/>
          <w:noProof/>
          <w:color w:val="000000"/>
          <w:sz w:val="22"/>
          <w:lang w:val="ka-GE"/>
        </w:rPr>
        <w:t>თებერვალი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</w:t>
      </w:r>
      <w:r w:rsidR="009645BB">
        <w:rPr>
          <w:noProof/>
          <w:color w:val="000000"/>
          <w:sz w:val="22"/>
          <w:lang w:val="ka-GE"/>
        </w:rPr>
        <w:t>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3C4D72" w:rsidRDefault="003C4D72" w:rsidP="003C4D72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„</w:t>
      </w:r>
      <w:r>
        <w:rPr>
          <w:rFonts w:cs="Sylfaen"/>
          <w:szCs w:val="18"/>
          <w:lang w:val="ka-GE"/>
        </w:rPr>
        <w:t>ქალაქ</w:t>
      </w:r>
      <w:r>
        <w:rPr>
          <w:szCs w:val="18"/>
          <w:lang w:val="af-ZA"/>
        </w:rPr>
        <w:t xml:space="preserve"> </w:t>
      </w:r>
      <w:r>
        <w:rPr>
          <w:rFonts w:cs="Sylfaen"/>
          <w:szCs w:val="18"/>
          <w:lang w:val="ka-GE"/>
        </w:rPr>
        <w:t>ქუთაისის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მუნიციპალიტეტის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საკრებულოს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აპარატის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საშტატო</w:t>
      </w:r>
      <w:r>
        <w:rPr>
          <w:szCs w:val="18"/>
          <w:lang w:val="af-ZA"/>
        </w:rPr>
        <w:t xml:space="preserve"> </w:t>
      </w:r>
      <w:r>
        <w:rPr>
          <w:rFonts w:cs="Sylfaen"/>
          <w:szCs w:val="18"/>
          <w:lang w:val="ka-GE"/>
        </w:rPr>
        <w:t>ნუსხის</w:t>
      </w:r>
      <w:r>
        <w:rPr>
          <w:szCs w:val="18"/>
          <w:lang w:val="ka-GE"/>
        </w:rPr>
        <w:t xml:space="preserve"> </w:t>
      </w:r>
    </w:p>
    <w:p w:rsidR="003C4D72" w:rsidRDefault="003C4D72" w:rsidP="003C4D72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 xml:space="preserve">დამტკიცების, საკრებულოს აპარატის საჯარო მოსამსახურეთა და საკრებულოს </w:t>
      </w:r>
    </w:p>
    <w:p w:rsidR="003C4D72" w:rsidRDefault="003C4D72" w:rsidP="003C4D72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პოლიტიკური თანამდებობის პირების თანამდებობრივი სარგოების ოდენობის</w:t>
      </w:r>
    </w:p>
    <w:p w:rsidR="003C4D72" w:rsidRDefault="003C4D72" w:rsidP="003C4D72">
      <w:pPr>
        <w:ind w:firstLine="0"/>
        <w:jc w:val="center"/>
        <w:rPr>
          <w:szCs w:val="18"/>
          <w:lang w:val="ka-GE"/>
        </w:rPr>
      </w:pPr>
      <w:r>
        <w:rPr>
          <w:szCs w:val="18"/>
          <w:lang w:val="af-ZA"/>
        </w:rPr>
        <w:t xml:space="preserve"> </w:t>
      </w:r>
      <w:r>
        <w:rPr>
          <w:szCs w:val="18"/>
          <w:lang w:val="ka-GE"/>
        </w:rPr>
        <w:t>განსაზღვრის შესახებ“ ქალაქ</w:t>
      </w:r>
      <w:r>
        <w:rPr>
          <w:szCs w:val="18"/>
          <w:lang w:val="af-ZA"/>
        </w:rPr>
        <w:t xml:space="preserve"> </w:t>
      </w:r>
      <w:r>
        <w:rPr>
          <w:szCs w:val="18"/>
          <w:lang w:val="ka-GE"/>
        </w:rPr>
        <w:t>ქუთაისის მუნიციპალიტეტის საკრებულოს</w:t>
      </w:r>
    </w:p>
    <w:p w:rsidR="003C4D72" w:rsidRDefault="003C4D72" w:rsidP="003C4D72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2018 წლის 18 იანვრის №23 დადგენილებაში ცვლილების შეტანის თაობაზე</w:t>
      </w:r>
    </w:p>
    <w:p w:rsidR="003C4D72" w:rsidRDefault="003C4D72" w:rsidP="003C4D72">
      <w:pPr>
        <w:jc w:val="center"/>
        <w:rPr>
          <w:szCs w:val="18"/>
          <w:lang w:val="ka-GE"/>
        </w:rPr>
      </w:pPr>
    </w:p>
    <w:p w:rsidR="003C4D72" w:rsidRDefault="003C4D72" w:rsidP="003C4D72">
      <w:pPr>
        <w:ind w:firstLine="706"/>
        <w:rPr>
          <w:szCs w:val="18"/>
          <w:lang w:val="ka-GE"/>
        </w:rPr>
      </w:pPr>
      <w:r>
        <w:rPr>
          <w:szCs w:val="18"/>
          <w:lang w:val="ka-GE"/>
        </w:rPr>
        <w:t xml:space="preserve">„ნორმატიული აქტების შესახებ“ საქართველოს ორგანული კანონის მე-20 მუხლის მე-4 პუნქტისა და საქართველოს კანონის „საქართველოს ზოგადი ადმინისტრაციული კოდექსი“ 63–ე მუხლის საფუძველზე, ქალაქ ქუთაისის მუნიციპალიტეტის საკრებულო </w:t>
      </w:r>
      <w:r w:rsidR="00E33F95">
        <w:rPr>
          <w:szCs w:val="18"/>
          <w:lang w:val="ka-GE"/>
        </w:rPr>
        <w:t xml:space="preserve"> </w:t>
      </w:r>
      <w:r>
        <w:rPr>
          <w:b/>
          <w:szCs w:val="18"/>
          <w:lang w:val="ka-GE"/>
        </w:rPr>
        <w:t>ა დ გ ე ნ ს:</w:t>
      </w:r>
    </w:p>
    <w:p w:rsidR="003C4D72" w:rsidRDefault="003C4D72" w:rsidP="003C4D72">
      <w:pPr>
        <w:spacing w:before="240"/>
        <w:ind w:firstLine="706"/>
        <w:rPr>
          <w:szCs w:val="18"/>
          <w:lang w:val="ka-GE"/>
        </w:rPr>
      </w:pPr>
      <w:r>
        <w:rPr>
          <w:b/>
          <w:szCs w:val="18"/>
          <w:lang w:val="ka-GE"/>
        </w:rPr>
        <w:t>მუხლი 1.</w:t>
      </w:r>
      <w:r>
        <w:rPr>
          <w:szCs w:val="18"/>
          <w:lang w:val="ka-GE"/>
        </w:rPr>
        <w:t xml:space="preserve"> შეტანილ იქნეს ცვლილება „ქალაქ</w:t>
      </w:r>
      <w:r>
        <w:rPr>
          <w:szCs w:val="18"/>
          <w:lang w:val="af-ZA"/>
        </w:rPr>
        <w:t xml:space="preserve"> </w:t>
      </w:r>
      <w:r>
        <w:rPr>
          <w:szCs w:val="18"/>
          <w:lang w:val="ka-GE"/>
        </w:rPr>
        <w:t>ქუთაისის მუნიციპალიტეტის საკრებულოს აპარატის საშტატო ნუსხის დამტკიცების, საკრებულოს აპარატის საჯარო მოსამსახურეთა და საკრებულოს პოლიტიკური თანამდებობის პირების თანამდებობრივი სარგოების ოდენობის</w:t>
      </w:r>
      <w:r>
        <w:rPr>
          <w:szCs w:val="18"/>
          <w:lang w:val="af-ZA"/>
        </w:rPr>
        <w:t xml:space="preserve"> </w:t>
      </w:r>
      <w:r>
        <w:rPr>
          <w:szCs w:val="18"/>
          <w:lang w:val="ka-GE"/>
        </w:rPr>
        <w:t>განსაზღვრის შესახებ“ ქალაქ</w:t>
      </w:r>
      <w:r>
        <w:rPr>
          <w:szCs w:val="18"/>
          <w:lang w:val="af-ZA"/>
        </w:rPr>
        <w:t xml:space="preserve"> </w:t>
      </w:r>
      <w:r>
        <w:rPr>
          <w:szCs w:val="18"/>
          <w:lang w:val="ka-GE"/>
        </w:rPr>
        <w:t xml:space="preserve">ქუთაისის მუნიციპალიტეტის საკრებულოს 2018 წლის 18 იანვრის </w:t>
      </w:r>
      <w:r>
        <w:rPr>
          <w:szCs w:val="18"/>
          <w:lang w:val="af-ZA"/>
        </w:rPr>
        <w:t>№</w:t>
      </w:r>
      <w:r>
        <w:rPr>
          <w:szCs w:val="18"/>
          <w:lang w:val="ka-GE"/>
        </w:rPr>
        <w:t>23 დადგენილებაში (</w:t>
      </w:r>
      <w:hyperlink r:id="rId9" w:history="1">
        <w:r>
          <w:rPr>
            <w:rStyle w:val="Hyperlink"/>
            <w:rFonts w:ascii="Sylfaen" w:hAnsi="Sylfaen"/>
            <w:color w:val="auto"/>
            <w:szCs w:val="18"/>
            <w:u w:val="none"/>
            <w:lang w:val="ka-GE"/>
          </w:rPr>
          <w:t>www.matsne.gov.ge</w:t>
        </w:r>
      </w:hyperlink>
      <w:r>
        <w:rPr>
          <w:szCs w:val="18"/>
          <w:lang w:val="ka-GE"/>
        </w:rPr>
        <w:t xml:space="preserve">, 23.01.2018, №90020020.35.123.016426), კერძოდ, შეიცვალოს დადგენილების </w:t>
      </w:r>
      <w:r>
        <w:rPr>
          <w:szCs w:val="18"/>
          <w:lang w:val="af-ZA"/>
        </w:rPr>
        <w:t>№</w:t>
      </w:r>
      <w:r>
        <w:rPr>
          <w:szCs w:val="18"/>
          <w:lang w:val="ka-GE"/>
        </w:rPr>
        <w:t>2 დანართი და ჩამოყალიბდეს თანდართული რედაქციით.</w:t>
      </w:r>
    </w:p>
    <w:p w:rsidR="003C4D72" w:rsidRDefault="003C4D72" w:rsidP="003C4D72">
      <w:pPr>
        <w:spacing w:line="480" w:lineRule="auto"/>
        <w:jc w:val="right"/>
        <w:rPr>
          <w:szCs w:val="18"/>
          <w:lang w:val="ka-GE"/>
        </w:rPr>
      </w:pPr>
      <w:r>
        <w:rPr>
          <w:szCs w:val="18"/>
          <w:lang w:val="ka-GE"/>
        </w:rPr>
        <w:t>(</w:t>
      </w:r>
      <w:r>
        <w:rPr>
          <w:rFonts w:cs="Arial"/>
          <w:szCs w:val="18"/>
          <w:lang w:val="ka-GE"/>
        </w:rPr>
        <w:t>№</w:t>
      </w:r>
      <w:r>
        <w:rPr>
          <w:szCs w:val="18"/>
          <w:lang w:val="ka-GE"/>
        </w:rPr>
        <w:t xml:space="preserve">2 </w:t>
      </w:r>
      <w:r>
        <w:rPr>
          <w:rFonts w:cs="Sylfaen"/>
          <w:szCs w:val="18"/>
          <w:lang w:val="ka-GE"/>
        </w:rPr>
        <w:t>დანართი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წინამდებარე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დადგენილებას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თან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ერთვის</w:t>
      </w:r>
      <w:r>
        <w:rPr>
          <w:szCs w:val="18"/>
          <w:lang w:val="ka-GE"/>
        </w:rPr>
        <w:t>)</w:t>
      </w:r>
    </w:p>
    <w:p w:rsidR="000675CA" w:rsidRDefault="003C4D72" w:rsidP="003C4D72">
      <w:pPr>
        <w:rPr>
          <w:szCs w:val="18"/>
          <w:lang w:val="ka-GE"/>
        </w:rPr>
      </w:pPr>
      <w:r w:rsidRPr="002A588F">
        <w:rPr>
          <w:rFonts w:eastAsia="Times New Roman"/>
          <w:b/>
          <w:szCs w:val="18"/>
          <w:lang w:val="ka-GE"/>
        </w:rPr>
        <w:t xml:space="preserve">მუხლი 2. </w:t>
      </w:r>
      <w:r w:rsidRPr="002A588F">
        <w:rPr>
          <w:rFonts w:eastAsia="Times New Roman"/>
          <w:szCs w:val="18"/>
          <w:lang w:val="ka-GE"/>
        </w:rPr>
        <w:t>დადგენილება ამოქმედდეს გამოქვეყნებისთანავე.</w:t>
      </w:r>
    </w:p>
    <w:p w:rsidR="00C41555" w:rsidRDefault="00C41555" w:rsidP="000675CA">
      <w:pPr>
        <w:jc w:val="center"/>
        <w:rPr>
          <w:szCs w:val="18"/>
          <w:lang w:val="ka-GE"/>
        </w:rPr>
      </w:pPr>
    </w:p>
    <w:p w:rsidR="00C41555" w:rsidRDefault="00C41555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ED5C89" w:rsidRDefault="00ED5C89" w:rsidP="00C41555">
      <w:pPr>
        <w:spacing w:line="240" w:lineRule="auto"/>
        <w:jc w:val="center"/>
        <w:rPr>
          <w:szCs w:val="18"/>
          <w:lang w:val="ka-GE"/>
        </w:rPr>
        <w:sectPr w:rsidR="00ED5C89" w:rsidSect="00ED5C89">
          <w:headerReference w:type="default" r:id="rId10"/>
          <w:pgSz w:w="12240" w:h="15840"/>
          <w:pgMar w:top="284" w:right="850" w:bottom="284" w:left="1701" w:header="720" w:footer="720" w:gutter="0"/>
          <w:cols w:space="720"/>
          <w:titlePg/>
          <w:docGrid w:linePitch="360"/>
        </w:sectPr>
      </w:pPr>
    </w:p>
    <w:p w:rsidR="00ED5C89" w:rsidRDefault="00ED5C89" w:rsidP="00ED5C89">
      <w:pPr>
        <w:ind w:firstLine="0"/>
        <w:jc w:val="right"/>
        <w:rPr>
          <w:szCs w:val="18"/>
          <w:lang w:val="ka-GE"/>
        </w:rPr>
      </w:pPr>
    </w:p>
    <w:p w:rsidR="00ED5C89" w:rsidRDefault="00ED5C89" w:rsidP="00ED5C89">
      <w:pPr>
        <w:ind w:firstLine="0"/>
        <w:jc w:val="right"/>
        <w:rPr>
          <w:szCs w:val="18"/>
          <w:lang w:val="ka-GE"/>
        </w:rPr>
      </w:pPr>
    </w:p>
    <w:p w:rsidR="00ED5C89" w:rsidRDefault="00ED5C89" w:rsidP="00ED5C89">
      <w:pPr>
        <w:ind w:firstLine="0"/>
        <w:jc w:val="right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</w:t>
      </w:r>
    </w:p>
    <w:p w:rsidR="00ED5C89" w:rsidRDefault="00ED5C89" w:rsidP="00ED5C89">
      <w:pPr>
        <w:ind w:firstLine="697"/>
        <w:jc w:val="right"/>
        <w:rPr>
          <w:szCs w:val="18"/>
          <w:lang w:val="ka-GE"/>
        </w:rPr>
      </w:pPr>
      <w:r>
        <w:rPr>
          <w:szCs w:val="18"/>
          <w:lang w:val="ka-GE"/>
        </w:rPr>
        <w:t xml:space="preserve">საკრებულოს 2022 წლის 23 თებერვლის </w:t>
      </w:r>
    </w:p>
    <w:p w:rsidR="00ED5C89" w:rsidRDefault="00ED5C89" w:rsidP="00ED5C89">
      <w:pPr>
        <w:spacing w:line="254" w:lineRule="auto"/>
        <w:ind w:firstLine="720"/>
        <w:jc w:val="right"/>
        <w:rPr>
          <w:szCs w:val="18"/>
          <w:lang w:val="ka-GE"/>
        </w:rPr>
      </w:pPr>
      <w:r>
        <w:rPr>
          <w:szCs w:val="18"/>
          <w:lang w:val="ka-GE"/>
        </w:rPr>
        <w:t>№</w:t>
      </w:r>
      <w:r w:rsidR="009155E4">
        <w:rPr>
          <w:szCs w:val="18"/>
          <w:lang w:val="ka-GE"/>
        </w:rPr>
        <w:t>9</w:t>
      </w:r>
      <w:r>
        <w:rPr>
          <w:szCs w:val="18"/>
          <w:lang w:val="ka-GE"/>
        </w:rPr>
        <w:t xml:space="preserve"> </w:t>
      </w:r>
      <w:bookmarkStart w:id="0" w:name="_GoBack"/>
      <w:bookmarkEnd w:id="0"/>
      <w:r>
        <w:rPr>
          <w:szCs w:val="18"/>
          <w:lang w:val="ka-GE"/>
        </w:rPr>
        <w:t>დადგენილების დანართი № 2</w:t>
      </w:r>
    </w:p>
    <w:p w:rsidR="00ED5C89" w:rsidRDefault="00ED5C89" w:rsidP="00ED5C89">
      <w:pPr>
        <w:spacing w:line="254" w:lineRule="auto"/>
        <w:ind w:firstLine="720"/>
        <w:jc w:val="right"/>
        <w:rPr>
          <w:b/>
          <w:szCs w:val="18"/>
        </w:rPr>
      </w:pPr>
    </w:p>
    <w:p w:rsidR="00ED5C89" w:rsidRDefault="00ED5C89" w:rsidP="00ED5C89">
      <w:pPr>
        <w:spacing w:line="276" w:lineRule="auto"/>
        <w:jc w:val="center"/>
        <w:rPr>
          <w:b/>
          <w:szCs w:val="18"/>
          <w:lang w:val="en-AU"/>
        </w:rPr>
      </w:pPr>
    </w:p>
    <w:p w:rsidR="00ED5C89" w:rsidRDefault="00ED5C89" w:rsidP="00ED5C89">
      <w:pPr>
        <w:spacing w:line="254" w:lineRule="auto"/>
        <w:ind w:firstLine="697"/>
        <w:jc w:val="right"/>
        <w:rPr>
          <w:szCs w:val="18"/>
          <w:lang w:val="ka-GE"/>
        </w:rPr>
      </w:pPr>
    </w:p>
    <w:p w:rsidR="00025098" w:rsidRDefault="00025098" w:rsidP="00025098">
      <w:pPr>
        <w:ind w:firstLine="697"/>
        <w:jc w:val="center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აპარატში</w:t>
      </w:r>
    </w:p>
    <w:p w:rsidR="00025098" w:rsidRDefault="00025098" w:rsidP="00025098">
      <w:pPr>
        <w:ind w:firstLine="697"/>
        <w:jc w:val="center"/>
        <w:rPr>
          <w:szCs w:val="18"/>
          <w:lang w:val="ka-GE"/>
        </w:rPr>
      </w:pPr>
      <w:r>
        <w:rPr>
          <w:szCs w:val="18"/>
          <w:lang w:val="ka-GE"/>
        </w:rPr>
        <w:t>შრომითი ხელშეკრულებით დასაქმებულ საჯარო მოსამსახურეთა</w:t>
      </w:r>
    </w:p>
    <w:p w:rsidR="00025098" w:rsidRDefault="00025098" w:rsidP="00025098">
      <w:pPr>
        <w:ind w:firstLine="697"/>
        <w:jc w:val="center"/>
        <w:rPr>
          <w:szCs w:val="18"/>
          <w:lang w:val="ka-GE"/>
        </w:rPr>
      </w:pPr>
      <w:r>
        <w:rPr>
          <w:szCs w:val="18"/>
          <w:lang w:val="ka-GE"/>
        </w:rPr>
        <w:t>ნ უ ს ხ ა</w:t>
      </w:r>
    </w:p>
    <w:p w:rsidR="00025098" w:rsidRDefault="00025098" w:rsidP="00025098">
      <w:pPr>
        <w:spacing w:after="160"/>
        <w:rPr>
          <w:szCs w:val="18"/>
          <w:lang w:val="ka-GE"/>
        </w:rPr>
      </w:pPr>
    </w:p>
    <w:p w:rsidR="00025098" w:rsidRDefault="00025098" w:rsidP="00025098">
      <w:pPr>
        <w:spacing w:after="160"/>
        <w:ind w:firstLine="700"/>
        <w:rPr>
          <w:szCs w:val="18"/>
          <w:lang w:val="ka-GE"/>
        </w:rPr>
      </w:pPr>
      <w:r>
        <w:rPr>
          <w:szCs w:val="18"/>
          <w:lang w:val="ka-GE"/>
        </w:rPr>
        <w:t>ქალაქ ქუთაისის მუნიციპალიტეტის საკრებულოს აპარატში შრომითი ხელშეკრულებით დასაქმებულია 10 მოსამსახურე. მათ შორის:</w:t>
      </w:r>
    </w:p>
    <w:p w:rsidR="00025098" w:rsidRDefault="00025098" w:rsidP="00025098">
      <w:pPr>
        <w:ind w:firstLine="697"/>
        <w:rPr>
          <w:szCs w:val="18"/>
          <w:lang w:val="ka-GE"/>
        </w:rPr>
      </w:pPr>
      <w:r>
        <w:rPr>
          <w:szCs w:val="18"/>
          <w:lang w:val="ka-GE"/>
        </w:rPr>
        <w:t>1. საკრებულოს თავმჯდომარის მრჩეველი</w:t>
      </w:r>
      <w:r w:rsidR="00B34D33">
        <w:rPr>
          <w:szCs w:val="18"/>
          <w:lang w:val="ka-GE"/>
        </w:rPr>
        <w:t xml:space="preserve"> –</w:t>
      </w:r>
      <w:r>
        <w:rPr>
          <w:szCs w:val="18"/>
          <w:lang w:val="ka-GE"/>
        </w:rPr>
        <w:t xml:space="preserve"> 2 ერთეული;</w:t>
      </w:r>
    </w:p>
    <w:p w:rsidR="00025098" w:rsidRDefault="00025098" w:rsidP="00025098">
      <w:pPr>
        <w:ind w:firstLine="697"/>
        <w:rPr>
          <w:szCs w:val="18"/>
          <w:lang w:val="ka-GE"/>
        </w:rPr>
      </w:pPr>
      <w:r>
        <w:rPr>
          <w:szCs w:val="18"/>
          <w:lang w:val="ka-GE"/>
        </w:rPr>
        <w:t>2. საკრებულოს თავმჯდომარის თანაშემწე – 1</w:t>
      </w:r>
      <w:r>
        <w:rPr>
          <w:szCs w:val="18"/>
          <w:lang w:val="en-AU"/>
        </w:rPr>
        <w:t xml:space="preserve"> </w:t>
      </w:r>
      <w:r>
        <w:rPr>
          <w:szCs w:val="18"/>
          <w:lang w:val="ka-GE"/>
        </w:rPr>
        <w:t xml:space="preserve">ერთეული; </w:t>
      </w:r>
    </w:p>
    <w:p w:rsidR="00025098" w:rsidRDefault="00025098" w:rsidP="00025098">
      <w:pPr>
        <w:ind w:firstLine="697"/>
        <w:rPr>
          <w:szCs w:val="18"/>
          <w:lang w:val="ka-GE"/>
        </w:rPr>
      </w:pPr>
      <w:r>
        <w:rPr>
          <w:szCs w:val="18"/>
          <w:lang w:val="ka-GE"/>
        </w:rPr>
        <w:t>3. საკრებულოს თავმჯდომარის პირველი მოადგილის თანაშემწე</w:t>
      </w:r>
      <w:r w:rsidR="00B34D33">
        <w:rPr>
          <w:szCs w:val="18"/>
          <w:lang w:val="ka-GE"/>
        </w:rPr>
        <w:t xml:space="preserve"> –</w:t>
      </w:r>
      <w:r>
        <w:rPr>
          <w:szCs w:val="18"/>
          <w:lang w:val="ka-GE"/>
        </w:rPr>
        <w:t xml:space="preserve"> 1 ერთეული;</w:t>
      </w:r>
    </w:p>
    <w:p w:rsidR="00025098" w:rsidRDefault="00025098" w:rsidP="00025098">
      <w:pPr>
        <w:ind w:firstLine="697"/>
        <w:rPr>
          <w:szCs w:val="18"/>
          <w:lang w:val="ka-GE"/>
        </w:rPr>
      </w:pPr>
      <w:r>
        <w:rPr>
          <w:szCs w:val="18"/>
          <w:lang w:val="ka-GE"/>
        </w:rPr>
        <w:t>4. საკრებულოს თავმჯდომარის მოადგილის თანაშემწე</w:t>
      </w:r>
      <w:r w:rsidR="00B34D33">
        <w:rPr>
          <w:szCs w:val="18"/>
          <w:lang w:val="ka-GE"/>
        </w:rPr>
        <w:t xml:space="preserve"> –</w:t>
      </w:r>
      <w:r>
        <w:rPr>
          <w:szCs w:val="18"/>
          <w:lang w:val="ka-GE"/>
        </w:rPr>
        <w:t xml:space="preserve"> 2 ერთეული;</w:t>
      </w:r>
    </w:p>
    <w:p w:rsidR="00025098" w:rsidRDefault="00025098" w:rsidP="00025098">
      <w:pPr>
        <w:ind w:firstLine="697"/>
        <w:rPr>
          <w:szCs w:val="18"/>
          <w:lang w:val="ka-GE"/>
        </w:rPr>
      </w:pPr>
      <w:r>
        <w:rPr>
          <w:szCs w:val="18"/>
          <w:lang w:val="ka-GE"/>
        </w:rPr>
        <w:t xml:space="preserve">5. მოწვეული სპეციალისტი – </w:t>
      </w:r>
      <w:r>
        <w:rPr>
          <w:szCs w:val="18"/>
        </w:rPr>
        <w:t>3</w:t>
      </w:r>
      <w:r>
        <w:rPr>
          <w:szCs w:val="18"/>
          <w:lang w:val="ka-GE"/>
        </w:rPr>
        <w:t xml:space="preserve"> ერთეული;</w:t>
      </w:r>
    </w:p>
    <w:p w:rsidR="00D701F4" w:rsidRDefault="00025098" w:rsidP="00025098">
      <w:pPr>
        <w:spacing w:line="240" w:lineRule="auto"/>
        <w:rPr>
          <w:szCs w:val="18"/>
          <w:lang w:val="ka-GE"/>
        </w:rPr>
      </w:pPr>
      <w:r>
        <w:rPr>
          <w:szCs w:val="18"/>
          <w:lang w:val="ka-GE"/>
        </w:rPr>
        <w:t>6. დამხმარე მოსამსახურე – 1 ერთეული.</w:t>
      </w:r>
    </w:p>
    <w:p w:rsidR="00ED5C89" w:rsidRDefault="00ED5C89" w:rsidP="00ED5C89">
      <w:pPr>
        <w:spacing w:line="240" w:lineRule="auto"/>
        <w:rPr>
          <w:szCs w:val="18"/>
          <w:lang w:val="ka-GE"/>
        </w:rPr>
      </w:pPr>
    </w:p>
    <w:p w:rsidR="00ED5C89" w:rsidRDefault="00ED5C89" w:rsidP="00ED5C89">
      <w:pPr>
        <w:spacing w:line="240" w:lineRule="auto"/>
        <w:rPr>
          <w:szCs w:val="18"/>
          <w:lang w:val="ka-GE"/>
        </w:rPr>
      </w:pPr>
    </w:p>
    <w:p w:rsidR="00ED5C89" w:rsidRDefault="00ED5C89" w:rsidP="00ED5C89">
      <w:pPr>
        <w:spacing w:line="240" w:lineRule="auto"/>
        <w:rPr>
          <w:szCs w:val="18"/>
          <w:lang w:val="ka-GE"/>
        </w:rPr>
      </w:pPr>
    </w:p>
    <w:p w:rsidR="00ED5C89" w:rsidRDefault="00ED5C89" w:rsidP="00ED5C89">
      <w:pPr>
        <w:spacing w:line="240" w:lineRule="auto"/>
        <w:rPr>
          <w:szCs w:val="18"/>
          <w:lang w:val="ka-GE"/>
        </w:rPr>
      </w:pPr>
    </w:p>
    <w:p w:rsidR="00ED5C89" w:rsidRDefault="00ED5C89" w:rsidP="00ED5C89">
      <w:pPr>
        <w:spacing w:line="240" w:lineRule="auto"/>
        <w:rPr>
          <w:szCs w:val="18"/>
          <w:lang w:val="ka-GE"/>
        </w:rPr>
      </w:pPr>
    </w:p>
    <w:p w:rsidR="00ED5C89" w:rsidRDefault="00ED5C89" w:rsidP="00ED5C89">
      <w:pPr>
        <w:spacing w:line="240" w:lineRule="auto"/>
        <w:rPr>
          <w:szCs w:val="18"/>
          <w:lang w:val="ka-GE"/>
        </w:rPr>
      </w:pPr>
    </w:p>
    <w:p w:rsidR="00ED5C89" w:rsidRDefault="00ED5C89" w:rsidP="00ED5C89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p w:rsidR="00ED5C89" w:rsidRDefault="00ED5C89" w:rsidP="00ED5C89">
      <w:pPr>
        <w:spacing w:line="240" w:lineRule="auto"/>
        <w:rPr>
          <w:szCs w:val="18"/>
          <w:lang w:val="ka-GE"/>
        </w:rPr>
      </w:pPr>
    </w:p>
    <w:sectPr w:rsidR="00ED5C89" w:rsidSect="00ED5C89"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DA9" w:rsidRDefault="004B2DA9" w:rsidP="00ED5C89">
      <w:pPr>
        <w:spacing w:line="240" w:lineRule="auto"/>
      </w:pPr>
      <w:r>
        <w:separator/>
      </w:r>
    </w:p>
  </w:endnote>
  <w:endnote w:type="continuationSeparator" w:id="0">
    <w:p w:rsidR="004B2DA9" w:rsidRDefault="004B2DA9" w:rsidP="00ED5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DA9" w:rsidRDefault="004B2DA9" w:rsidP="00ED5C89">
      <w:pPr>
        <w:spacing w:line="240" w:lineRule="auto"/>
      </w:pPr>
      <w:r>
        <w:separator/>
      </w:r>
    </w:p>
  </w:footnote>
  <w:footnote w:type="continuationSeparator" w:id="0">
    <w:p w:rsidR="004B2DA9" w:rsidRDefault="004B2DA9" w:rsidP="00ED5C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531298"/>
      <w:docPartObj>
        <w:docPartGallery w:val="Page Numbers (Top of Page)"/>
        <w:docPartUnique/>
      </w:docPartObj>
    </w:sdtPr>
    <w:sdtEndPr>
      <w:rPr>
        <w:noProof/>
      </w:rPr>
    </w:sdtEndPr>
    <w:sdtContent>
      <w:p w:rsidR="00ED5C89" w:rsidRDefault="00ED5C8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5C89" w:rsidRDefault="00ED5C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25098"/>
    <w:rsid w:val="000675CA"/>
    <w:rsid w:val="001660ED"/>
    <w:rsid w:val="00210D38"/>
    <w:rsid w:val="00237AD8"/>
    <w:rsid w:val="00265F0E"/>
    <w:rsid w:val="003C4D72"/>
    <w:rsid w:val="004B2DA9"/>
    <w:rsid w:val="005309AA"/>
    <w:rsid w:val="00590917"/>
    <w:rsid w:val="00595F0F"/>
    <w:rsid w:val="005A1913"/>
    <w:rsid w:val="005B4200"/>
    <w:rsid w:val="008356F2"/>
    <w:rsid w:val="008B2DF6"/>
    <w:rsid w:val="009155E4"/>
    <w:rsid w:val="009645BB"/>
    <w:rsid w:val="009F498E"/>
    <w:rsid w:val="00B34D33"/>
    <w:rsid w:val="00B62306"/>
    <w:rsid w:val="00C23B62"/>
    <w:rsid w:val="00C36F25"/>
    <w:rsid w:val="00C41555"/>
    <w:rsid w:val="00CB0BB9"/>
    <w:rsid w:val="00D701F4"/>
    <w:rsid w:val="00E33F95"/>
    <w:rsid w:val="00ED5C89"/>
    <w:rsid w:val="00FC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0618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95F0F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C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C89"/>
  </w:style>
  <w:style w:type="paragraph" w:styleId="Footer">
    <w:name w:val="footer"/>
    <w:basedOn w:val="Normal"/>
    <w:link w:val="FooterChar"/>
    <w:uiPriority w:val="99"/>
    <w:unhideWhenUsed/>
    <w:rsid w:val="00ED5C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tsne.gov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EF194-9AFA-4F62-BFE5-0FA5821C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17</cp:revision>
  <dcterms:created xsi:type="dcterms:W3CDTF">2019-12-17T13:13:00Z</dcterms:created>
  <dcterms:modified xsi:type="dcterms:W3CDTF">2022-02-23T13:18:00Z</dcterms:modified>
</cp:coreProperties>
</file>