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083AF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3059591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3A12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374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E22F2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E22F2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9E22F2" w:rsidRPr="005421D5" w:rsidRDefault="009E22F2" w:rsidP="009E22F2">
      <w:pPr>
        <w:jc w:val="center"/>
        <w:rPr>
          <w:rFonts w:cs="Sylfaen"/>
          <w:szCs w:val="18"/>
          <w:lang w:val="ka-GE"/>
        </w:rPr>
      </w:pPr>
      <w:r w:rsidRPr="005421D5">
        <w:rPr>
          <w:szCs w:val="18"/>
        </w:rPr>
        <w:t>„</w:t>
      </w:r>
      <w:r w:rsidRPr="005421D5">
        <w:rPr>
          <w:rFonts w:cs="Sylfaen"/>
          <w:szCs w:val="18"/>
        </w:rPr>
        <w:t>ქალაქ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ქონების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პრივატიზაციისა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</w:p>
    <w:p w:rsidR="009E22F2" w:rsidRPr="005421D5" w:rsidRDefault="009E22F2" w:rsidP="009E22F2">
      <w:pPr>
        <w:jc w:val="center"/>
        <w:rPr>
          <w:szCs w:val="18"/>
          <w:lang w:val="ka-GE"/>
        </w:rPr>
      </w:pPr>
      <w:r w:rsidRPr="005421D5">
        <w:rPr>
          <w:rFonts w:cs="Sylfaen"/>
          <w:szCs w:val="18"/>
        </w:rPr>
        <w:t>სარგებლობაში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გასაცემი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ობიექტების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გეგმის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დამტკიცების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შესახებ</w:t>
      </w:r>
      <w:r w:rsidRPr="005421D5">
        <w:rPr>
          <w:szCs w:val="18"/>
        </w:rPr>
        <w:t>“</w:t>
      </w:r>
    </w:p>
    <w:p w:rsidR="009E22F2" w:rsidRDefault="009E22F2" w:rsidP="009E22F2">
      <w:pPr>
        <w:jc w:val="center"/>
        <w:rPr>
          <w:szCs w:val="18"/>
        </w:rPr>
      </w:pPr>
      <w:r w:rsidRPr="005421D5">
        <w:rPr>
          <w:rFonts w:cs="Sylfaen"/>
          <w:szCs w:val="18"/>
        </w:rPr>
        <w:t>ქალაქ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საკრებულოს</w:t>
      </w:r>
      <w:r w:rsidRPr="005421D5">
        <w:rPr>
          <w:szCs w:val="18"/>
        </w:rPr>
        <w:t xml:space="preserve"> 202</w:t>
      </w:r>
      <w:r w:rsidRPr="005421D5">
        <w:rPr>
          <w:szCs w:val="18"/>
          <w:lang w:val="ka-GE"/>
        </w:rPr>
        <w:t>1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წლის</w:t>
      </w:r>
      <w:r>
        <w:rPr>
          <w:rFonts w:cs="Sylfaen"/>
          <w:szCs w:val="18"/>
          <w:lang w:val="ka-GE"/>
        </w:rPr>
        <w:t xml:space="preserve"> </w:t>
      </w:r>
      <w:r w:rsidRPr="005421D5">
        <w:rPr>
          <w:szCs w:val="18"/>
        </w:rPr>
        <w:t>1</w:t>
      </w:r>
      <w:r w:rsidRPr="005421D5">
        <w:rPr>
          <w:szCs w:val="18"/>
          <w:lang w:val="ka-GE"/>
        </w:rPr>
        <w:t>6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მარტის</w:t>
      </w:r>
    </w:p>
    <w:p w:rsidR="009E22F2" w:rsidRPr="005421D5" w:rsidRDefault="009E22F2" w:rsidP="00F41378">
      <w:pPr>
        <w:spacing w:line="240" w:lineRule="auto"/>
        <w:jc w:val="center"/>
        <w:rPr>
          <w:rFonts w:cs="Sylfaen"/>
          <w:szCs w:val="18"/>
          <w:lang w:val="ka-GE"/>
        </w:rPr>
      </w:pPr>
      <w:r w:rsidRPr="005421D5">
        <w:rPr>
          <w:szCs w:val="18"/>
        </w:rPr>
        <w:t>№</w:t>
      </w:r>
      <w:r w:rsidR="00FC3FEA">
        <w:rPr>
          <w:szCs w:val="18"/>
          <w:lang w:val="ka-GE"/>
        </w:rPr>
        <w:t xml:space="preserve"> </w:t>
      </w:r>
      <w:r w:rsidRPr="005421D5">
        <w:rPr>
          <w:szCs w:val="18"/>
          <w:lang w:val="ka-GE"/>
        </w:rPr>
        <w:t>3</w:t>
      </w:r>
      <w:r w:rsidRPr="005421D5">
        <w:rPr>
          <w:szCs w:val="18"/>
        </w:rPr>
        <w:t>6</w:t>
      </w:r>
      <w:r w:rsidRPr="005421D5">
        <w:rPr>
          <w:szCs w:val="18"/>
          <w:lang w:val="ka-GE"/>
        </w:rPr>
        <w:t>0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განკარგულებაში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ცვლილების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შეტანის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თაობაზე</w:t>
      </w:r>
    </w:p>
    <w:p w:rsidR="009E22F2" w:rsidRPr="005421D5" w:rsidRDefault="009E22F2" w:rsidP="009E22F2">
      <w:pPr>
        <w:rPr>
          <w:rFonts w:cs="Sylfaen"/>
          <w:szCs w:val="18"/>
          <w:lang w:val="ka-GE"/>
        </w:rPr>
      </w:pPr>
    </w:p>
    <w:p w:rsidR="009E22F2" w:rsidRPr="005421D5" w:rsidRDefault="009E22F2" w:rsidP="009E22F2">
      <w:pPr>
        <w:rPr>
          <w:szCs w:val="18"/>
        </w:rPr>
      </w:pPr>
      <w:r w:rsidRPr="005421D5">
        <w:rPr>
          <w:rFonts w:cs="Sylfaen"/>
          <w:szCs w:val="18"/>
        </w:rPr>
        <w:t>საქართველოს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ორგანული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კანონის</w:t>
      </w:r>
      <w:r w:rsidRPr="005421D5">
        <w:rPr>
          <w:szCs w:val="18"/>
        </w:rPr>
        <w:t xml:space="preserve"> „</w:t>
      </w:r>
      <w:r w:rsidRPr="005421D5">
        <w:rPr>
          <w:rFonts w:cs="Sylfaen"/>
          <w:szCs w:val="18"/>
        </w:rPr>
        <w:t>ადგილობრივი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თვითმმართველობის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კოდექსი</w:t>
      </w:r>
      <w:r w:rsidRPr="005421D5">
        <w:rPr>
          <w:szCs w:val="18"/>
        </w:rPr>
        <w:t>“ 24-</w:t>
      </w:r>
      <w:r w:rsidRPr="005421D5">
        <w:rPr>
          <w:rFonts w:cs="Sylfaen"/>
          <w:szCs w:val="18"/>
        </w:rPr>
        <w:t>ე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მუხლის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პირველი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პუნქტის</w:t>
      </w:r>
      <w:r w:rsidRPr="005421D5">
        <w:rPr>
          <w:szCs w:val="18"/>
        </w:rPr>
        <w:t xml:space="preserve"> „</w:t>
      </w:r>
      <w:r w:rsidRPr="005421D5">
        <w:rPr>
          <w:rFonts w:cs="Sylfaen"/>
          <w:szCs w:val="18"/>
        </w:rPr>
        <w:t>ე</w:t>
      </w:r>
      <w:r w:rsidRPr="005421D5">
        <w:rPr>
          <w:szCs w:val="18"/>
        </w:rPr>
        <w:t xml:space="preserve">“ </w:t>
      </w:r>
      <w:r w:rsidRPr="005421D5">
        <w:rPr>
          <w:rFonts w:cs="Sylfaen"/>
          <w:szCs w:val="18"/>
        </w:rPr>
        <w:t>ქვეპუნქტის</w:t>
      </w:r>
      <w:r w:rsidRPr="005421D5">
        <w:rPr>
          <w:szCs w:val="18"/>
        </w:rPr>
        <w:t xml:space="preserve"> „</w:t>
      </w:r>
      <w:r w:rsidRPr="005421D5">
        <w:rPr>
          <w:rFonts w:cs="Sylfaen"/>
          <w:szCs w:val="18"/>
        </w:rPr>
        <w:t>ე</w:t>
      </w:r>
      <w:r w:rsidRPr="005421D5">
        <w:rPr>
          <w:szCs w:val="18"/>
        </w:rPr>
        <w:t>.</w:t>
      </w:r>
      <w:r w:rsidRPr="005421D5">
        <w:rPr>
          <w:rFonts w:cs="Sylfaen"/>
          <w:szCs w:val="18"/>
        </w:rPr>
        <w:t>დ</w:t>
      </w:r>
      <w:r w:rsidRPr="005421D5">
        <w:rPr>
          <w:szCs w:val="18"/>
        </w:rPr>
        <w:t xml:space="preserve">“ </w:t>
      </w:r>
      <w:r w:rsidRPr="005421D5">
        <w:rPr>
          <w:rFonts w:cs="Sylfaen"/>
          <w:szCs w:val="18"/>
        </w:rPr>
        <w:t>ქვეპუნქტის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საქართველოს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ზოგადი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ადმინისტრაციული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კოდექსის</w:t>
      </w:r>
      <w:r w:rsidRPr="005421D5">
        <w:rPr>
          <w:szCs w:val="18"/>
        </w:rPr>
        <w:t xml:space="preserve"> 63-</w:t>
      </w:r>
      <w:r w:rsidRPr="005421D5">
        <w:rPr>
          <w:rFonts w:cs="Sylfaen"/>
          <w:szCs w:val="18"/>
        </w:rPr>
        <w:t>ე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მუხლისა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„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ქონების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პრივატიზების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სარგებლობისა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მართვის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უფლებებით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გადაცემის</w:t>
      </w:r>
      <w:r w:rsidRPr="005421D5">
        <w:rPr>
          <w:szCs w:val="18"/>
        </w:rPr>
        <w:t>,</w:t>
      </w:r>
      <w:r w:rsidRPr="005421D5">
        <w:rPr>
          <w:szCs w:val="18"/>
          <w:lang w:val="ka-GE"/>
        </w:rPr>
        <w:t xml:space="preserve"> </w:t>
      </w:r>
      <w:r w:rsidRPr="005421D5">
        <w:rPr>
          <w:rFonts w:cs="Sylfaen"/>
          <w:szCs w:val="18"/>
        </w:rPr>
        <w:t>საპრივატიზებო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საფასურის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საწყისი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საპრივატიზებო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საფასურის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ქირის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საფასურის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ქირის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საწყისი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საფასურის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განსაზღვრისა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ანგარიშსწორების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წესების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დამტკიცების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შესახებ</w:t>
      </w:r>
      <w:r w:rsidRPr="005421D5">
        <w:rPr>
          <w:szCs w:val="18"/>
        </w:rPr>
        <w:t xml:space="preserve">“ </w:t>
      </w:r>
      <w:r w:rsidRPr="005421D5">
        <w:rPr>
          <w:rFonts w:cs="Sylfaen"/>
          <w:szCs w:val="18"/>
        </w:rPr>
        <w:t>საქართველოს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მთავრობის</w:t>
      </w:r>
      <w:r w:rsidRPr="005421D5">
        <w:rPr>
          <w:szCs w:val="18"/>
        </w:rPr>
        <w:t xml:space="preserve"> 2014 </w:t>
      </w:r>
      <w:r w:rsidRPr="005421D5">
        <w:rPr>
          <w:rFonts w:cs="Sylfaen"/>
          <w:szCs w:val="18"/>
        </w:rPr>
        <w:t>წლის</w:t>
      </w:r>
      <w:r w:rsidRPr="005421D5">
        <w:rPr>
          <w:szCs w:val="18"/>
        </w:rPr>
        <w:t xml:space="preserve"> 8 </w:t>
      </w:r>
      <w:r w:rsidRPr="005421D5">
        <w:rPr>
          <w:rFonts w:cs="Sylfaen"/>
          <w:szCs w:val="18"/>
        </w:rPr>
        <w:t>დეკემბრის</w:t>
      </w:r>
      <w:r w:rsidRPr="005421D5">
        <w:rPr>
          <w:szCs w:val="18"/>
        </w:rPr>
        <w:t xml:space="preserve"> №</w:t>
      </w:r>
      <w:r w:rsidR="0005325D">
        <w:rPr>
          <w:szCs w:val="18"/>
          <w:lang w:val="ka-GE"/>
        </w:rPr>
        <w:t xml:space="preserve"> </w:t>
      </w:r>
      <w:r w:rsidRPr="005421D5">
        <w:rPr>
          <w:szCs w:val="18"/>
        </w:rPr>
        <w:t xml:space="preserve">669 </w:t>
      </w:r>
      <w:r w:rsidRPr="005421D5">
        <w:rPr>
          <w:rFonts w:cs="Sylfaen"/>
          <w:szCs w:val="18"/>
        </w:rPr>
        <w:t>დადგენილების</w:t>
      </w:r>
      <w:r w:rsidRPr="005421D5">
        <w:rPr>
          <w:szCs w:val="18"/>
        </w:rPr>
        <w:t xml:space="preserve"> 22-</w:t>
      </w:r>
      <w:r w:rsidRPr="005421D5">
        <w:rPr>
          <w:rFonts w:cs="Sylfaen"/>
          <w:szCs w:val="18"/>
        </w:rPr>
        <w:t>ე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მუხლის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მეორე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პუნქტის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შესაბამისად</w:t>
      </w:r>
      <w:r w:rsidRPr="005421D5">
        <w:rPr>
          <w:szCs w:val="18"/>
        </w:rPr>
        <w:t>:</w:t>
      </w:r>
    </w:p>
    <w:p w:rsidR="009E22F2" w:rsidRPr="005421D5" w:rsidRDefault="009E22F2" w:rsidP="009E22F2">
      <w:pPr>
        <w:spacing w:before="240"/>
        <w:rPr>
          <w:szCs w:val="18"/>
          <w:lang w:val="ka-GE"/>
        </w:rPr>
      </w:pPr>
      <w:r w:rsidRPr="00F41378">
        <w:rPr>
          <w:rFonts w:cs="Sylfaen"/>
          <w:b/>
          <w:szCs w:val="18"/>
        </w:rPr>
        <w:t>მუხლი</w:t>
      </w:r>
      <w:r w:rsidRPr="00F41378">
        <w:rPr>
          <w:b/>
          <w:szCs w:val="18"/>
        </w:rPr>
        <w:t xml:space="preserve"> 1.</w:t>
      </w:r>
      <w:r w:rsidRPr="005421D5">
        <w:rPr>
          <w:szCs w:val="18"/>
          <w:lang w:val="ka-GE"/>
        </w:rPr>
        <w:t xml:space="preserve"> შეტანილ იქნეს ცვლილება </w:t>
      </w:r>
      <w:r w:rsidRPr="005421D5">
        <w:rPr>
          <w:szCs w:val="18"/>
        </w:rPr>
        <w:t>„</w:t>
      </w:r>
      <w:r w:rsidRPr="005421D5">
        <w:rPr>
          <w:rFonts w:cs="Sylfaen"/>
          <w:szCs w:val="18"/>
        </w:rPr>
        <w:t>ქალაქ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ქონების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პრივატიზაციისა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სარგებლობაში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გასაცემი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ობიექტების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გეგმის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დამტკიცების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შესახებ</w:t>
      </w:r>
      <w:r w:rsidRPr="005421D5">
        <w:rPr>
          <w:szCs w:val="18"/>
        </w:rPr>
        <w:t xml:space="preserve">“ </w:t>
      </w:r>
      <w:r w:rsidRPr="005421D5">
        <w:rPr>
          <w:rFonts w:cs="Sylfaen"/>
          <w:szCs w:val="18"/>
        </w:rPr>
        <w:t>ქალაქ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საკრებულოს</w:t>
      </w:r>
      <w:r w:rsidRPr="005421D5">
        <w:rPr>
          <w:szCs w:val="18"/>
        </w:rPr>
        <w:t xml:space="preserve"> 2021 </w:t>
      </w:r>
      <w:r w:rsidRPr="005421D5">
        <w:rPr>
          <w:rFonts w:cs="Sylfaen"/>
          <w:szCs w:val="18"/>
        </w:rPr>
        <w:t>წლის</w:t>
      </w:r>
      <w:r w:rsidRPr="005421D5">
        <w:rPr>
          <w:szCs w:val="18"/>
        </w:rPr>
        <w:t xml:space="preserve"> 16 </w:t>
      </w:r>
      <w:r w:rsidRPr="005421D5">
        <w:rPr>
          <w:rFonts w:cs="Sylfaen"/>
          <w:szCs w:val="18"/>
        </w:rPr>
        <w:t>მარტის</w:t>
      </w:r>
      <w:r w:rsidRPr="005421D5">
        <w:rPr>
          <w:szCs w:val="18"/>
        </w:rPr>
        <w:t xml:space="preserve"> №</w:t>
      </w:r>
      <w:r w:rsidR="0005325D">
        <w:rPr>
          <w:szCs w:val="18"/>
          <w:lang w:val="ka-GE"/>
        </w:rPr>
        <w:t xml:space="preserve"> </w:t>
      </w:r>
      <w:r w:rsidRPr="005421D5">
        <w:rPr>
          <w:szCs w:val="18"/>
          <w:lang w:val="ka-GE"/>
        </w:rPr>
        <w:t>3</w:t>
      </w:r>
      <w:r w:rsidRPr="005421D5">
        <w:rPr>
          <w:szCs w:val="18"/>
        </w:rPr>
        <w:t>6</w:t>
      </w:r>
      <w:r w:rsidRPr="005421D5">
        <w:rPr>
          <w:szCs w:val="18"/>
          <w:lang w:val="ka-GE"/>
        </w:rPr>
        <w:t>0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განკარგულებაში</w:t>
      </w:r>
      <w:r w:rsidRPr="005421D5">
        <w:rPr>
          <w:rFonts w:cs="Sylfaen"/>
          <w:szCs w:val="18"/>
          <w:lang w:val="ka-GE"/>
        </w:rPr>
        <w:t xml:space="preserve">, </w:t>
      </w:r>
      <w:r w:rsidRPr="005421D5">
        <w:rPr>
          <w:szCs w:val="18"/>
          <w:lang w:val="ka-GE"/>
        </w:rPr>
        <w:t xml:space="preserve">კერძოდ: </w:t>
      </w:r>
      <w:r w:rsidRPr="005421D5">
        <w:rPr>
          <w:rFonts w:cs="Sylfaen"/>
          <w:szCs w:val="18"/>
          <w:lang w:val="ka-GE"/>
        </w:rPr>
        <w:t>საპრი</w:t>
      </w:r>
      <w:r w:rsidRPr="005421D5">
        <w:rPr>
          <w:rFonts w:cs="Sylfaen"/>
          <w:szCs w:val="18"/>
        </w:rPr>
        <w:t>ვატიზაცი</w:t>
      </w:r>
      <w:r w:rsidRPr="005421D5">
        <w:rPr>
          <w:rFonts w:cs="Sylfaen"/>
          <w:szCs w:val="18"/>
          <w:lang w:val="ka-GE"/>
        </w:rPr>
        <w:t>ო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სარგებლობაში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გასაცემი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ობიექტების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გეგმას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დაემატოს</w:t>
      </w:r>
      <w:r w:rsidRPr="005421D5">
        <w:rPr>
          <w:szCs w:val="18"/>
        </w:rPr>
        <w:t xml:space="preserve"> №</w:t>
      </w:r>
      <w:r w:rsidRPr="005421D5">
        <w:rPr>
          <w:szCs w:val="18"/>
          <w:lang w:val="ka-GE"/>
        </w:rPr>
        <w:t>206</w:t>
      </w:r>
      <w:r w:rsidR="00F41378">
        <w:rPr>
          <w:szCs w:val="18"/>
          <w:lang w:val="ka-GE"/>
        </w:rPr>
        <w:t>–</w:t>
      </w:r>
      <w:r w:rsidR="00767716">
        <w:rPr>
          <w:szCs w:val="18"/>
          <w:lang w:val="ka-GE"/>
        </w:rPr>
        <w:t>№212</w:t>
      </w:r>
      <w:r w:rsidRPr="005421D5">
        <w:rPr>
          <w:szCs w:val="18"/>
          <w:lang w:val="ka-GE"/>
        </w:rPr>
        <w:t xml:space="preserve"> </w:t>
      </w:r>
      <w:r w:rsidRPr="005421D5">
        <w:rPr>
          <w:rFonts w:cs="Sylfaen"/>
          <w:szCs w:val="18"/>
        </w:rPr>
        <w:t>პუნქტ</w:t>
      </w:r>
      <w:r w:rsidRPr="005421D5">
        <w:rPr>
          <w:rFonts w:cs="Sylfaen"/>
          <w:szCs w:val="18"/>
          <w:lang w:val="ka-GE"/>
        </w:rPr>
        <w:t>ები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თანდართული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რედაქციით</w:t>
      </w:r>
      <w:r w:rsidRPr="005421D5">
        <w:rPr>
          <w:szCs w:val="18"/>
        </w:rPr>
        <w:t>.</w:t>
      </w:r>
    </w:p>
    <w:p w:rsidR="009E22F2" w:rsidRPr="005421D5" w:rsidRDefault="009E22F2" w:rsidP="00F41378">
      <w:pPr>
        <w:spacing w:before="240" w:line="480" w:lineRule="auto"/>
        <w:jc w:val="right"/>
        <w:rPr>
          <w:szCs w:val="18"/>
          <w:lang w:val="ka-GE"/>
        </w:rPr>
      </w:pPr>
      <w:r w:rsidRPr="005421D5">
        <w:rPr>
          <w:szCs w:val="18"/>
          <w:lang w:val="ka-GE"/>
        </w:rPr>
        <w:t>(</w:t>
      </w:r>
      <w:r w:rsidRPr="005421D5">
        <w:rPr>
          <w:rFonts w:cs="Sylfaen"/>
          <w:szCs w:val="18"/>
        </w:rPr>
        <w:t>დანართი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განკარგულებას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თან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ერთვის</w:t>
      </w:r>
      <w:r w:rsidRPr="005421D5">
        <w:rPr>
          <w:szCs w:val="18"/>
          <w:lang w:val="ka-GE"/>
        </w:rPr>
        <w:t>)</w:t>
      </w:r>
    </w:p>
    <w:p w:rsidR="009E22F2" w:rsidRPr="005421D5" w:rsidRDefault="009E22F2" w:rsidP="009E22F2">
      <w:pPr>
        <w:rPr>
          <w:szCs w:val="18"/>
          <w:lang w:val="ka-GE"/>
        </w:rPr>
      </w:pPr>
      <w:r w:rsidRPr="00F41378">
        <w:rPr>
          <w:rFonts w:cs="Sylfaen"/>
          <w:b/>
          <w:szCs w:val="18"/>
        </w:rPr>
        <w:t>მუხლი</w:t>
      </w:r>
      <w:r w:rsidRPr="00F41378">
        <w:rPr>
          <w:rFonts w:cs="Sylfaen"/>
          <w:b/>
          <w:szCs w:val="18"/>
          <w:lang w:val="ka-GE"/>
        </w:rPr>
        <w:t xml:space="preserve"> </w:t>
      </w:r>
      <w:r w:rsidRPr="00F41378">
        <w:rPr>
          <w:b/>
          <w:szCs w:val="18"/>
        </w:rPr>
        <w:t>2.</w:t>
      </w:r>
      <w:r w:rsidRPr="00F41378">
        <w:rPr>
          <w:b/>
          <w:szCs w:val="18"/>
          <w:lang w:val="ka-GE"/>
        </w:rPr>
        <w:t xml:space="preserve"> </w:t>
      </w:r>
      <w:r w:rsidRPr="005421D5">
        <w:rPr>
          <w:rFonts w:cs="Sylfaen"/>
          <w:szCs w:val="18"/>
        </w:rPr>
        <w:t>კონტროლი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შესრულებაზე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განახორციელოს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ქალაქ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მუნიციპალიტეტის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საკრებულოს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ეკონომიკის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ქონების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მართვისა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საქალაქო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მეურნეობის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კომისიამ</w:t>
      </w:r>
      <w:r w:rsidRPr="005421D5">
        <w:rPr>
          <w:szCs w:val="18"/>
        </w:rPr>
        <w:t>.</w:t>
      </w:r>
    </w:p>
    <w:p w:rsidR="009E22F2" w:rsidRPr="005421D5" w:rsidRDefault="009E22F2" w:rsidP="009E22F2">
      <w:pPr>
        <w:rPr>
          <w:szCs w:val="18"/>
          <w:lang w:val="ka-GE"/>
        </w:rPr>
      </w:pPr>
      <w:r w:rsidRPr="00F41378">
        <w:rPr>
          <w:rFonts w:cs="Sylfaen"/>
          <w:b/>
          <w:szCs w:val="18"/>
        </w:rPr>
        <w:t>მუხლი</w:t>
      </w:r>
      <w:r w:rsidRPr="00F41378">
        <w:rPr>
          <w:b/>
          <w:szCs w:val="18"/>
        </w:rPr>
        <w:t xml:space="preserve"> </w:t>
      </w:r>
      <w:r w:rsidRPr="00F41378">
        <w:rPr>
          <w:b/>
          <w:szCs w:val="18"/>
          <w:lang w:val="ka-GE"/>
        </w:rPr>
        <w:t>3</w:t>
      </w:r>
      <w:r w:rsidRPr="00F41378">
        <w:rPr>
          <w:b/>
          <w:szCs w:val="18"/>
        </w:rPr>
        <w:t>.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შეიძლება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გასაჩივრდეს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კანონით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დადგენილი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წესით</w:t>
      </w:r>
      <w:r w:rsidRPr="005421D5">
        <w:rPr>
          <w:szCs w:val="18"/>
        </w:rPr>
        <w:t xml:space="preserve">, </w:t>
      </w:r>
      <w:r w:rsidRPr="005421D5">
        <w:rPr>
          <w:rFonts w:cs="Sylfaen"/>
          <w:szCs w:val="18"/>
        </w:rPr>
        <w:t>ქუთაისის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საქალაქო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სასამართლოში</w:t>
      </w:r>
      <w:r w:rsidRPr="005421D5">
        <w:rPr>
          <w:szCs w:val="18"/>
        </w:rPr>
        <w:t xml:space="preserve"> (ვ</w:t>
      </w:r>
      <w:r w:rsidR="00F41378">
        <w:rPr>
          <w:szCs w:val="18"/>
          <w:lang w:val="ka-GE"/>
        </w:rPr>
        <w:t>.</w:t>
      </w:r>
      <w:r w:rsidRPr="005421D5">
        <w:rPr>
          <w:rFonts w:cs="Sylfaen"/>
          <w:szCs w:val="18"/>
        </w:rPr>
        <w:t>კუპრაძის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ქუჩა</w:t>
      </w:r>
      <w:r w:rsidRPr="005421D5">
        <w:rPr>
          <w:szCs w:val="18"/>
        </w:rPr>
        <w:t xml:space="preserve"> №</w:t>
      </w:r>
      <w:r w:rsidR="0005325D">
        <w:rPr>
          <w:szCs w:val="18"/>
          <w:lang w:val="ka-GE"/>
        </w:rPr>
        <w:t xml:space="preserve"> </w:t>
      </w:r>
      <w:r w:rsidRPr="005421D5">
        <w:rPr>
          <w:szCs w:val="18"/>
        </w:rPr>
        <w:t xml:space="preserve">11), </w:t>
      </w:r>
      <w:r w:rsidRPr="005421D5">
        <w:rPr>
          <w:rFonts w:cs="Sylfaen"/>
          <w:szCs w:val="18"/>
        </w:rPr>
        <w:t>მისი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გაცნობიდან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ერთი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თვის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ვადაში</w:t>
      </w:r>
      <w:r w:rsidRPr="005421D5">
        <w:rPr>
          <w:szCs w:val="18"/>
        </w:rPr>
        <w:t>.</w:t>
      </w:r>
    </w:p>
    <w:p w:rsidR="00A100A8" w:rsidRDefault="009E22F2" w:rsidP="00F41378">
      <w:pPr>
        <w:jc w:val="left"/>
        <w:rPr>
          <w:szCs w:val="18"/>
        </w:rPr>
      </w:pPr>
      <w:r w:rsidRPr="00F41378">
        <w:rPr>
          <w:rFonts w:cs="Sylfaen"/>
          <w:b/>
          <w:szCs w:val="18"/>
        </w:rPr>
        <w:t>მუხლი</w:t>
      </w:r>
      <w:r w:rsidRPr="00F41378">
        <w:rPr>
          <w:b/>
          <w:szCs w:val="18"/>
        </w:rPr>
        <w:t xml:space="preserve"> </w:t>
      </w:r>
      <w:r w:rsidRPr="00F41378">
        <w:rPr>
          <w:b/>
          <w:szCs w:val="18"/>
          <w:lang w:val="ka-GE"/>
        </w:rPr>
        <w:t>4</w:t>
      </w:r>
      <w:r w:rsidRPr="00F41378">
        <w:rPr>
          <w:b/>
          <w:szCs w:val="18"/>
        </w:rPr>
        <w:t>.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განკარგულება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ძალაში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შევიდეს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კანონით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დადგენილი</w:t>
      </w:r>
      <w:r w:rsidRPr="005421D5">
        <w:rPr>
          <w:szCs w:val="18"/>
        </w:rPr>
        <w:t xml:space="preserve"> </w:t>
      </w:r>
      <w:r w:rsidRPr="005421D5">
        <w:rPr>
          <w:rFonts w:cs="Sylfaen"/>
          <w:szCs w:val="18"/>
        </w:rPr>
        <w:t>წესით</w:t>
      </w:r>
      <w:r w:rsidRPr="005421D5">
        <w:rPr>
          <w:szCs w:val="18"/>
        </w:rPr>
        <w:t>.</w:t>
      </w:r>
    </w:p>
    <w:p w:rsidR="00F41378" w:rsidRDefault="00F41378" w:rsidP="00F41378">
      <w:pPr>
        <w:jc w:val="left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F41378" w:rsidRDefault="00F41378" w:rsidP="00A100A8">
      <w:pPr>
        <w:jc w:val="center"/>
        <w:rPr>
          <w:szCs w:val="18"/>
          <w:lang w:val="ka-GE"/>
        </w:rPr>
        <w:sectPr w:rsidR="00F41378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32158A" w:rsidRPr="0032158A" w:rsidRDefault="0032158A" w:rsidP="0032158A">
      <w:pPr>
        <w:jc w:val="right"/>
        <w:rPr>
          <w:bCs/>
          <w:iCs/>
          <w:szCs w:val="18"/>
          <w:lang w:val="ka-GE"/>
        </w:rPr>
      </w:pPr>
      <w:r w:rsidRPr="0032158A">
        <w:rPr>
          <w:bCs/>
          <w:iCs/>
          <w:szCs w:val="18"/>
        </w:rPr>
        <w:lastRenderedPageBreak/>
        <w:t xml:space="preserve">ქალაქ ქუთაისის </w:t>
      </w:r>
      <w:r w:rsidRPr="0032158A">
        <w:rPr>
          <w:bCs/>
          <w:iCs/>
          <w:szCs w:val="18"/>
          <w:lang w:val="ka-GE"/>
        </w:rPr>
        <w:t xml:space="preserve">მუნიციპალიტეტის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2158A">
        <w:rPr>
          <w:bCs/>
          <w:iCs/>
          <w:szCs w:val="18"/>
        </w:rPr>
        <w:t>საკრებულოს 20</w:t>
      </w:r>
      <w:r w:rsidRPr="0032158A">
        <w:rPr>
          <w:bCs/>
          <w:iCs/>
          <w:szCs w:val="18"/>
          <w:lang w:val="ka-GE"/>
        </w:rPr>
        <w:t>21</w:t>
      </w:r>
      <w:r w:rsidRPr="0032158A">
        <w:rPr>
          <w:bCs/>
          <w:iCs/>
          <w:szCs w:val="18"/>
        </w:rPr>
        <w:t xml:space="preserve"> წლის </w:t>
      </w:r>
      <w:r w:rsidR="00477254">
        <w:rPr>
          <w:bCs/>
          <w:iCs/>
          <w:szCs w:val="18"/>
          <w:lang w:val="ka-GE"/>
        </w:rPr>
        <w:t xml:space="preserve">28 </w:t>
      </w:r>
      <w:r w:rsidRPr="0032158A">
        <w:rPr>
          <w:bCs/>
          <w:iCs/>
          <w:szCs w:val="18"/>
          <w:lang w:val="ka-GE"/>
        </w:rPr>
        <w:t>აპრილის</w:t>
      </w:r>
    </w:p>
    <w:p w:rsidR="0032158A" w:rsidRDefault="0032158A" w:rsidP="0032158A">
      <w:pPr>
        <w:jc w:val="right"/>
        <w:rPr>
          <w:bCs/>
          <w:iCs/>
          <w:szCs w:val="18"/>
        </w:rPr>
      </w:pPr>
      <w:r w:rsidRPr="0032158A">
        <w:rPr>
          <w:bCs/>
          <w:iCs/>
          <w:szCs w:val="18"/>
          <w:lang w:val="ka-GE"/>
        </w:rPr>
        <w:t xml:space="preserve">№ </w:t>
      </w:r>
      <w:r w:rsidR="00083AFD">
        <w:rPr>
          <w:bCs/>
          <w:iCs/>
          <w:szCs w:val="18"/>
          <w:lang w:val="ka-GE"/>
        </w:rPr>
        <w:t>374</w:t>
      </w:r>
      <w:r w:rsidRPr="0032158A">
        <w:rPr>
          <w:bCs/>
          <w:iCs/>
          <w:szCs w:val="18"/>
          <w:lang w:val="en-AU"/>
        </w:rPr>
        <w:t xml:space="preserve"> </w:t>
      </w:r>
      <w:r w:rsidRPr="0032158A">
        <w:rPr>
          <w:bCs/>
          <w:iCs/>
          <w:szCs w:val="18"/>
        </w:rPr>
        <w:t>განკარგულების</w:t>
      </w:r>
      <w:r w:rsidRPr="0032158A">
        <w:rPr>
          <w:bCs/>
          <w:iCs/>
          <w:szCs w:val="18"/>
          <w:lang w:val="ka-GE"/>
        </w:rPr>
        <w:t xml:space="preserve"> </w:t>
      </w:r>
      <w:r w:rsidRPr="0032158A">
        <w:rPr>
          <w:bCs/>
          <w:iCs/>
          <w:szCs w:val="18"/>
        </w:rPr>
        <w:t>დანართი</w:t>
      </w:r>
    </w:p>
    <w:p w:rsidR="00C26997" w:rsidRPr="0032158A" w:rsidRDefault="00C26997" w:rsidP="0032158A">
      <w:pPr>
        <w:jc w:val="right"/>
        <w:rPr>
          <w:bCs/>
          <w:iCs/>
          <w:szCs w:val="18"/>
          <w:lang w:val="ka-GE"/>
        </w:rPr>
      </w:pPr>
    </w:p>
    <w:p w:rsidR="0032158A" w:rsidRPr="0032158A" w:rsidRDefault="0032158A" w:rsidP="0032158A">
      <w:pPr>
        <w:jc w:val="center"/>
        <w:rPr>
          <w:bCs/>
          <w:iCs/>
          <w:szCs w:val="18"/>
          <w:lang w:val="ka-GE"/>
        </w:rPr>
      </w:pPr>
      <w:r w:rsidRPr="0032158A">
        <w:rPr>
          <w:bCs/>
          <w:iCs/>
          <w:szCs w:val="18"/>
        </w:rPr>
        <w:t>ქალაქ</w:t>
      </w:r>
      <w:r w:rsidRPr="0032158A">
        <w:rPr>
          <w:bCs/>
          <w:iCs/>
          <w:szCs w:val="18"/>
          <w:lang w:val="ka-GE"/>
        </w:rPr>
        <w:t xml:space="preserve"> </w:t>
      </w:r>
      <w:r w:rsidRPr="0032158A">
        <w:rPr>
          <w:bCs/>
          <w:iCs/>
          <w:szCs w:val="18"/>
        </w:rPr>
        <w:t xml:space="preserve">ქუთაისის </w:t>
      </w:r>
      <w:r w:rsidRPr="0032158A">
        <w:rPr>
          <w:bCs/>
          <w:iCs/>
          <w:szCs w:val="18"/>
          <w:lang w:val="ka-GE"/>
        </w:rPr>
        <w:t xml:space="preserve">მუნიციპალიტეტის </w:t>
      </w:r>
      <w:r w:rsidRPr="0032158A">
        <w:rPr>
          <w:bCs/>
          <w:iCs/>
          <w:szCs w:val="18"/>
        </w:rPr>
        <w:t xml:space="preserve">ქონების </w:t>
      </w:r>
      <w:r w:rsidRPr="0032158A">
        <w:rPr>
          <w:bCs/>
          <w:iCs/>
          <w:szCs w:val="18"/>
          <w:lang w:val="ka-GE"/>
        </w:rPr>
        <w:t>პრივატიზაციისა და</w:t>
      </w:r>
    </w:p>
    <w:p w:rsidR="00F41378" w:rsidRDefault="0032158A" w:rsidP="0032158A">
      <w:pPr>
        <w:jc w:val="center"/>
        <w:rPr>
          <w:bCs/>
          <w:iCs/>
          <w:szCs w:val="18"/>
          <w:lang w:val="ka-GE"/>
        </w:rPr>
      </w:pPr>
      <w:r w:rsidRPr="0032158A">
        <w:rPr>
          <w:bCs/>
          <w:iCs/>
          <w:szCs w:val="18"/>
          <w:lang w:val="ka-GE"/>
        </w:rPr>
        <w:t>სარგებლობაში გასაცემი ობიექტების გეგმა</w:t>
      </w:r>
    </w:p>
    <w:p w:rsidR="00C26997" w:rsidRDefault="00C26997" w:rsidP="00C26997">
      <w:pPr>
        <w:spacing w:line="276" w:lineRule="auto"/>
        <w:jc w:val="center"/>
        <w:rPr>
          <w:bCs/>
          <w:iCs/>
          <w:szCs w:val="18"/>
          <w:lang w:val="ka-GE"/>
        </w:rPr>
      </w:pPr>
    </w:p>
    <w:tbl>
      <w:tblPr>
        <w:tblStyle w:val="TableGrid"/>
        <w:tblW w:w="147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2517"/>
        <w:gridCol w:w="2835"/>
        <w:gridCol w:w="1125"/>
        <w:gridCol w:w="1710"/>
        <w:gridCol w:w="1701"/>
        <w:gridCol w:w="1383"/>
        <w:gridCol w:w="2835"/>
      </w:tblGrid>
      <w:tr w:rsidR="008B7628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№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ქონების</w:t>
            </w:r>
            <w:r w:rsidRPr="005953A9">
              <w:rPr>
                <w:rFonts w:cs="Geo_Times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ფართობი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pt-BR"/>
              </w:rPr>
            </w:pPr>
            <w:r w:rsidRPr="005953A9">
              <w:rPr>
                <w:szCs w:val="18"/>
                <w:lang w:val="ka-GE"/>
              </w:rPr>
              <w:t>(</w:t>
            </w:r>
            <w:r w:rsidRPr="005953A9">
              <w:rPr>
                <w:rFonts w:cs="Sylfaen"/>
                <w:szCs w:val="18"/>
                <w:lang w:val="ka-GE"/>
              </w:rPr>
              <w:t>კვ</w:t>
            </w:r>
            <w:r w:rsidRPr="005953A9">
              <w:rPr>
                <w:rFonts w:cs="Geo_Times"/>
                <w:szCs w:val="18"/>
                <w:lang w:val="ka-GE"/>
              </w:rPr>
              <w:t>.</w:t>
            </w:r>
            <w:r w:rsidRPr="005953A9">
              <w:rPr>
                <w:rFonts w:cs="Sylfaen"/>
                <w:szCs w:val="18"/>
                <w:lang w:val="ka-GE"/>
              </w:rPr>
              <w:t>მ</w:t>
            </w:r>
            <w:r w:rsidRPr="005953A9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სარეგის</w:t>
            </w:r>
            <w:r w:rsidRPr="005953A9">
              <w:rPr>
                <w:rFonts w:cs="Sylfaen"/>
                <w:szCs w:val="18"/>
                <w:lang w:val="en-AU"/>
              </w:rPr>
              <w:softHyphen/>
            </w:r>
            <w:r w:rsidRPr="005953A9">
              <w:rPr>
                <w:rFonts w:cs="Sylfaen"/>
                <w:szCs w:val="18"/>
                <w:lang w:val="ka-GE"/>
              </w:rPr>
              <w:t>ტრაციო</w:t>
            </w:r>
            <w:r w:rsidRPr="005953A9">
              <w:rPr>
                <w:rFonts w:cs="Geo_Times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ნომერი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საწყისი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საპრივა</w:t>
            </w:r>
            <w:r w:rsidRPr="005953A9">
              <w:rPr>
                <w:szCs w:val="18"/>
              </w:rPr>
              <w:softHyphen/>
            </w:r>
            <w:r w:rsidRPr="005953A9">
              <w:rPr>
                <w:rFonts w:cs="Sylfaen"/>
                <w:szCs w:val="18"/>
                <w:lang w:val="ka-GE"/>
              </w:rPr>
              <w:t>ტი</w:t>
            </w:r>
            <w:r w:rsidRPr="005953A9">
              <w:rPr>
                <w:szCs w:val="18"/>
              </w:rPr>
              <w:softHyphen/>
            </w:r>
            <w:r w:rsidRPr="005953A9">
              <w:rPr>
                <w:rFonts w:cs="Sylfaen"/>
                <w:szCs w:val="18"/>
                <w:lang w:val="ka-GE"/>
              </w:rPr>
              <w:t>ზებო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საფა</w:t>
            </w:r>
            <w:r w:rsidRPr="005953A9">
              <w:rPr>
                <w:szCs w:val="18"/>
              </w:rPr>
              <w:softHyphen/>
            </w:r>
            <w:r w:rsidRPr="005953A9">
              <w:rPr>
                <w:rFonts w:cs="Sylfaen"/>
                <w:szCs w:val="18"/>
                <w:lang w:val="ka-GE"/>
              </w:rPr>
              <w:t>სური</w:t>
            </w:r>
            <w:r w:rsidRPr="005953A9">
              <w:rPr>
                <w:szCs w:val="18"/>
                <w:lang w:val="ka-GE"/>
              </w:rPr>
              <w:t xml:space="preserve"> (</w:t>
            </w:r>
            <w:r w:rsidRPr="005953A9">
              <w:rPr>
                <w:rFonts w:cs="Sylfaen"/>
                <w:szCs w:val="18"/>
                <w:lang w:val="ka-GE"/>
              </w:rPr>
              <w:t>ლარი</w:t>
            </w:r>
            <w:r w:rsidRPr="005953A9">
              <w:rPr>
                <w:szCs w:val="18"/>
                <w:lang w:val="ka-GE"/>
              </w:rPr>
              <w:t>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აუქციონით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განკარგვის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ფორმა</w:t>
            </w:r>
            <w:r w:rsidRPr="005953A9">
              <w:rPr>
                <w:szCs w:val="18"/>
                <w:lang w:val="ka-GE"/>
              </w:rPr>
              <w:t xml:space="preserve"> (</w:t>
            </w:r>
            <w:r w:rsidRPr="005953A9">
              <w:rPr>
                <w:rFonts w:cs="Sylfaen"/>
                <w:szCs w:val="18"/>
                <w:lang w:val="ka-GE"/>
              </w:rPr>
              <w:t>პირობით</w:t>
            </w:r>
            <w:r w:rsidR="008B7628">
              <w:rPr>
                <w:rFonts w:cs="Sylfaen"/>
                <w:szCs w:val="18"/>
                <w:lang w:val="ka-GE"/>
              </w:rPr>
              <w:t>,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ან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უპირობო</w:t>
            </w:r>
            <w:r w:rsidRPr="005953A9">
              <w:rPr>
                <w:rFonts w:cs="Sylfaen"/>
                <w:szCs w:val="18"/>
                <w:lang w:val="en-AU"/>
              </w:rPr>
              <w:t>დ</w:t>
            </w:r>
            <w:r w:rsidRPr="005953A9">
              <w:rPr>
                <w:szCs w:val="18"/>
                <w:lang w:val="ka-GE"/>
              </w:rPr>
              <w:t>)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სრული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ღირებულების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გადახდის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სავარაუდო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პერიოდი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ან</w:t>
            </w:r>
            <w:r w:rsidRPr="005953A9">
              <w:rPr>
                <w:szCs w:val="18"/>
                <w:lang w:val="ka-GE"/>
              </w:rPr>
              <w:t>/</w:t>
            </w:r>
            <w:r w:rsidRPr="005953A9">
              <w:rPr>
                <w:rFonts w:cs="Sylfaen"/>
                <w:szCs w:val="18"/>
                <w:lang w:val="ka-GE"/>
              </w:rPr>
              <w:t>და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პერიოდულობა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1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2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3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4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11" w:right="-10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6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pStyle w:val="NoSpacing"/>
              <w:spacing w:line="276" w:lineRule="auto"/>
              <w:ind w:left="-4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7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pStyle w:val="NoSpacing"/>
              <w:spacing w:line="276" w:lineRule="auto"/>
              <w:ind w:left="57" w:right="57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5953A9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8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206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არასასოფლო</w:t>
            </w:r>
            <w:r w:rsidR="005330AC">
              <w:rPr>
                <w:rFonts w:cs="Sylfaen"/>
                <w:szCs w:val="18"/>
                <w:lang w:val="ka-GE"/>
              </w:rPr>
              <w:t>–</w:t>
            </w:r>
            <w:r w:rsidRPr="005953A9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თაბუკაშვილის ქუჩა №</w:t>
            </w:r>
            <w:r w:rsidR="0005325D">
              <w:rPr>
                <w:rFonts w:cs="Sylfaen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32-ის აღმოსავლეთით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317.0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03.05.25.427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52.0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(1</w:t>
            </w:r>
            <w:r w:rsidR="009511B1"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szCs w:val="18"/>
                <w:lang w:val="ka-GE"/>
              </w:rPr>
              <w:t>კვ.მ</w:t>
            </w:r>
            <w:r w:rsidR="009511B1" w:rsidRPr="005953A9">
              <w:rPr>
                <w:szCs w:val="18"/>
                <w:lang w:val="ka-GE"/>
              </w:rPr>
              <w:t>.</w:t>
            </w:r>
            <w:r w:rsidRPr="005953A9">
              <w:rPr>
                <w:szCs w:val="18"/>
                <w:lang w:val="ka-GE"/>
              </w:rPr>
              <w:t>-ზე)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207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არასასოფლო</w:t>
            </w:r>
            <w:r w:rsidR="005330AC">
              <w:rPr>
                <w:rFonts w:cs="Sylfaen"/>
                <w:szCs w:val="18"/>
                <w:lang w:val="ka-GE"/>
              </w:rPr>
              <w:t>–</w:t>
            </w:r>
            <w:r w:rsidRPr="005953A9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თაბუკაშვილის ქუჩა №</w:t>
            </w:r>
            <w:r w:rsidR="0005325D">
              <w:rPr>
                <w:rFonts w:cs="Sylfaen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10-ის აღმოსავლეთით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2555.0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03.05.25.459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52.0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(1</w:t>
            </w:r>
            <w:r w:rsidR="009511B1"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szCs w:val="18"/>
                <w:lang w:val="ka-GE"/>
              </w:rPr>
              <w:t>კვ.მ</w:t>
            </w:r>
            <w:r w:rsidR="009511B1" w:rsidRPr="005953A9">
              <w:rPr>
                <w:szCs w:val="18"/>
                <w:lang w:val="ka-GE"/>
              </w:rPr>
              <w:t>.</w:t>
            </w:r>
            <w:r w:rsidRPr="005953A9">
              <w:rPr>
                <w:szCs w:val="18"/>
                <w:lang w:val="ka-GE"/>
              </w:rPr>
              <w:t>-ზე)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208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არასასოფლო</w:t>
            </w:r>
            <w:r w:rsidR="005330AC">
              <w:rPr>
                <w:rFonts w:cs="Sylfaen"/>
                <w:szCs w:val="18"/>
                <w:lang w:val="ka-GE"/>
              </w:rPr>
              <w:t>–</w:t>
            </w:r>
            <w:r w:rsidRPr="005953A9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="0005325D">
              <w:rPr>
                <w:rFonts w:cs="Sylfaen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8-ის ჩრდილოეთით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270.0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03.04.33.120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145.0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(1</w:t>
            </w:r>
            <w:r w:rsidR="009511B1"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szCs w:val="18"/>
                <w:lang w:val="ka-GE"/>
              </w:rPr>
              <w:t>კვ.მ</w:t>
            </w:r>
            <w:r w:rsidR="009511B1" w:rsidRPr="005953A9">
              <w:rPr>
                <w:szCs w:val="18"/>
                <w:lang w:val="ka-GE"/>
              </w:rPr>
              <w:t>.</w:t>
            </w:r>
            <w:r w:rsidRPr="005953A9">
              <w:rPr>
                <w:szCs w:val="18"/>
                <w:lang w:val="ka-GE"/>
              </w:rPr>
              <w:t>-ზე)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209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არასასოფლო</w:t>
            </w:r>
            <w:r w:rsidR="005330AC">
              <w:rPr>
                <w:rFonts w:cs="Sylfaen"/>
                <w:szCs w:val="18"/>
                <w:lang w:val="ka-GE"/>
              </w:rPr>
              <w:t>–</w:t>
            </w:r>
            <w:r w:rsidRPr="005953A9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ავტომშენებლის გამზირი №43-ის ჩრდილოეთით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242.0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03.01.23.818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75.0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(1</w:t>
            </w:r>
            <w:r w:rsidR="009511B1"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szCs w:val="18"/>
                <w:lang w:val="ka-GE"/>
              </w:rPr>
              <w:t>კვ.მ</w:t>
            </w:r>
            <w:r w:rsidR="009511B1" w:rsidRPr="005953A9">
              <w:rPr>
                <w:szCs w:val="18"/>
                <w:lang w:val="ka-GE"/>
              </w:rPr>
              <w:t>.</w:t>
            </w:r>
            <w:r w:rsidRPr="005953A9">
              <w:rPr>
                <w:szCs w:val="18"/>
                <w:lang w:val="ka-GE"/>
              </w:rPr>
              <w:t>-ზე)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210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არასასოფლო</w:t>
            </w:r>
            <w:r w:rsidR="005330AC">
              <w:rPr>
                <w:rFonts w:cs="Sylfaen"/>
                <w:szCs w:val="18"/>
                <w:lang w:val="ka-GE"/>
              </w:rPr>
              <w:t>–</w:t>
            </w:r>
            <w:r w:rsidRPr="005953A9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2766BD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თაბუკაშვილის ქუჩა №</w:t>
            </w:r>
            <w:r w:rsidR="0005325D">
              <w:rPr>
                <w:rFonts w:cs="Sylfaen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113-ის აღმოსავლეთით</w:t>
            </w:r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47.0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03.05.25.726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52.0</w:t>
            </w:r>
          </w:p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(1</w:t>
            </w:r>
            <w:r w:rsidR="009511B1"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szCs w:val="18"/>
                <w:lang w:val="ka-GE"/>
              </w:rPr>
              <w:t>კვ.მ</w:t>
            </w:r>
            <w:r w:rsidR="009511B1" w:rsidRPr="005953A9">
              <w:rPr>
                <w:szCs w:val="18"/>
                <w:lang w:val="ka-GE"/>
              </w:rPr>
              <w:t>.</w:t>
            </w:r>
            <w:r w:rsidRPr="005953A9">
              <w:rPr>
                <w:szCs w:val="18"/>
                <w:lang w:val="ka-GE"/>
              </w:rPr>
              <w:t>-ზე)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AF788E" w:rsidRPr="005953A9" w:rsidTr="008A7C40">
        <w:tc>
          <w:tcPr>
            <w:tcW w:w="6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211</w:t>
            </w:r>
          </w:p>
        </w:tc>
        <w:tc>
          <w:tcPr>
            <w:tcW w:w="2517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არასაცხოვრებელი ფართი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ქალაქი ქუთაისი, თაბუკაშვილი</w:t>
            </w:r>
            <w:r w:rsidR="00767716">
              <w:rPr>
                <w:rFonts w:cs="Sylfaen"/>
                <w:szCs w:val="18"/>
                <w:lang w:val="ka-GE"/>
              </w:rPr>
              <w:t>ს</w:t>
            </w:r>
            <w:r w:rsidRPr="005953A9">
              <w:rPr>
                <w:rFonts w:cs="Sylfaen"/>
                <w:szCs w:val="18"/>
                <w:lang w:val="ka-GE"/>
              </w:rPr>
              <w:t xml:space="preserve"> ქუჩა №</w:t>
            </w:r>
            <w:r w:rsidR="0005325D">
              <w:rPr>
                <w:rFonts w:cs="Sylfaen"/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24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207,23</w:t>
            </w:r>
          </w:p>
        </w:tc>
        <w:tc>
          <w:tcPr>
            <w:tcW w:w="1710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11" w:right="-10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03.05.01.106.01.501</w:t>
            </w:r>
          </w:p>
        </w:tc>
        <w:tc>
          <w:tcPr>
            <w:tcW w:w="1701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136 600.0</w:t>
            </w:r>
          </w:p>
        </w:tc>
        <w:tc>
          <w:tcPr>
            <w:tcW w:w="1383" w:type="dxa"/>
            <w:vAlign w:val="center"/>
          </w:tcPr>
          <w:p w:rsidR="00AF788E" w:rsidRPr="005953A9" w:rsidRDefault="00AF788E" w:rsidP="008B7628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 w:rsidRPr="005953A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AF788E" w:rsidRPr="005953A9" w:rsidRDefault="00AF788E" w:rsidP="005953A9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767716" w:rsidRPr="005953A9" w:rsidTr="008A7C40">
        <w:tc>
          <w:tcPr>
            <w:tcW w:w="601" w:type="dxa"/>
            <w:vAlign w:val="center"/>
          </w:tcPr>
          <w:p w:rsidR="00767716" w:rsidRPr="005953A9" w:rsidRDefault="00686B8B" w:rsidP="00767716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2</w:t>
            </w:r>
            <w:r w:rsidR="00767716">
              <w:rPr>
                <w:szCs w:val="18"/>
                <w:lang w:val="ka-GE"/>
              </w:rPr>
              <w:t>12</w:t>
            </w:r>
          </w:p>
        </w:tc>
        <w:tc>
          <w:tcPr>
            <w:tcW w:w="2517" w:type="dxa"/>
            <w:vAlign w:val="center"/>
          </w:tcPr>
          <w:p w:rsidR="00752A55" w:rsidRPr="00CA1F8F" w:rsidRDefault="00767716" w:rsidP="00752A55">
            <w:pPr>
              <w:spacing w:line="276" w:lineRule="auto"/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არასასოფლო–</w:t>
            </w:r>
            <w:r w:rsidRPr="00CA1F8F">
              <w:rPr>
                <w:rFonts w:eastAsia="Times New Roman" w:cs="Sylfaen"/>
                <w:szCs w:val="18"/>
                <w:lang w:val="ka-GE" w:eastAsia="ru-RU"/>
              </w:rPr>
              <w:t>სამეურნეო დანიშნულების მიწის ნაკვეთი</w:t>
            </w:r>
            <w:r w:rsidR="00752A55">
              <w:rPr>
                <w:rFonts w:eastAsia="Times New Roman" w:cs="Sylfaen"/>
                <w:szCs w:val="18"/>
                <w:lang w:val="ka-GE" w:eastAsia="ru-RU"/>
              </w:rPr>
              <w:t xml:space="preserve"> შენობა–ნაგებობით</w:t>
            </w:r>
          </w:p>
        </w:tc>
        <w:tc>
          <w:tcPr>
            <w:tcW w:w="2835" w:type="dxa"/>
            <w:vAlign w:val="center"/>
          </w:tcPr>
          <w:p w:rsidR="00767716" w:rsidRPr="00C5384B" w:rsidRDefault="00767716" w:rsidP="00767716">
            <w:pPr>
              <w:ind w:firstLine="0"/>
              <w:jc w:val="center"/>
              <w:rPr>
                <w:rFonts w:eastAsia="Times New Roman" w:cs="Sylfaen"/>
                <w:szCs w:val="18"/>
                <w:lang w:val="ka-GE" w:eastAsia="ru-RU"/>
              </w:rPr>
            </w:pPr>
            <w:r>
              <w:rPr>
                <w:rFonts w:eastAsia="Times New Roman" w:cs="Sylfaen"/>
                <w:szCs w:val="18"/>
                <w:lang w:val="ka-GE" w:eastAsia="ru-RU"/>
              </w:rPr>
              <w:t>ქალაქი ქუთაისი, ბუხაიძის ქუჩა №</w:t>
            </w:r>
            <w:r w:rsidR="0005325D">
              <w:rPr>
                <w:rFonts w:eastAsia="Times New Roman" w:cs="Sylfaen"/>
                <w:szCs w:val="18"/>
                <w:lang w:val="ka-GE" w:eastAsia="ru-RU"/>
              </w:rPr>
              <w:t xml:space="preserve"> </w:t>
            </w:r>
            <w:r>
              <w:rPr>
                <w:rFonts w:eastAsia="Times New Roman" w:cs="Sylfaen"/>
                <w:szCs w:val="18"/>
                <w:lang w:val="ka-GE" w:eastAsia="ru-RU"/>
              </w:rPr>
              <w:t>2</w:t>
            </w:r>
            <w:r>
              <w:rPr>
                <w:rFonts w:eastAsia="Times New Roman" w:cs="Sylfaen"/>
                <w:szCs w:val="18"/>
                <w:vertAlign w:val="superscript"/>
                <w:lang w:val="ka-GE" w:eastAsia="ru-RU"/>
              </w:rPr>
              <w:t>ბ</w:t>
            </w:r>
            <w:r>
              <w:rPr>
                <w:rFonts w:eastAsia="Times New Roman" w:cs="Sylfaen"/>
                <w:szCs w:val="18"/>
                <w:lang w:val="ka-GE" w:eastAsia="ru-RU"/>
              </w:rPr>
              <w:t>-ს მიმდებარედ</w:t>
            </w:r>
          </w:p>
        </w:tc>
        <w:tc>
          <w:tcPr>
            <w:tcW w:w="1125" w:type="dxa"/>
            <w:vAlign w:val="center"/>
          </w:tcPr>
          <w:p w:rsidR="00767716" w:rsidRDefault="00767716" w:rsidP="00767716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მიწა: 131.0</w:t>
            </w:r>
            <w:r w:rsidR="00D0083F">
              <w:rPr>
                <w:rFonts w:eastAsia="Times New Roman" w:cs="Times New Roman"/>
                <w:szCs w:val="18"/>
                <w:lang w:val="ka-GE" w:eastAsia="ru-RU"/>
              </w:rPr>
              <w:t>;</w:t>
            </w:r>
          </w:p>
          <w:p w:rsidR="00767716" w:rsidRPr="00CA1F8F" w:rsidRDefault="00767716" w:rsidP="0076771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შენობა–ნაგებობა №</w:t>
            </w:r>
            <w:r w:rsidR="00F065AF">
              <w:rPr>
                <w:rFonts w:eastAsia="Times New Roman" w:cs="Times New Roman"/>
                <w:szCs w:val="18"/>
                <w:lang w:val="ka-GE" w:eastAsia="ru-RU"/>
              </w:rPr>
              <w:t xml:space="preserve"> </w:t>
            </w:r>
            <w:r>
              <w:rPr>
                <w:rFonts w:eastAsia="Times New Roman" w:cs="Times New Roman"/>
                <w:szCs w:val="18"/>
                <w:lang w:val="ka-GE" w:eastAsia="ru-RU"/>
              </w:rPr>
              <w:t>1</w:t>
            </w:r>
          </w:p>
        </w:tc>
        <w:tc>
          <w:tcPr>
            <w:tcW w:w="1710" w:type="dxa"/>
            <w:vAlign w:val="center"/>
          </w:tcPr>
          <w:p w:rsidR="00767716" w:rsidRPr="00CA1F8F" w:rsidRDefault="00767716" w:rsidP="00767716">
            <w:pPr>
              <w:ind w:firstLine="0"/>
              <w:jc w:val="center"/>
              <w:rPr>
                <w:rFonts w:eastAsia="Times New Roman" w:cs="Times New Roman"/>
                <w:szCs w:val="18"/>
                <w:lang w:val="ka-GE" w:eastAsia="ru-RU"/>
              </w:rPr>
            </w:pPr>
            <w:r>
              <w:rPr>
                <w:rFonts w:eastAsia="Times New Roman" w:cs="Times New Roman"/>
                <w:szCs w:val="18"/>
                <w:lang w:val="ka-GE" w:eastAsia="ru-RU"/>
              </w:rPr>
              <w:t>03.01.22.382</w:t>
            </w:r>
          </w:p>
        </w:tc>
        <w:tc>
          <w:tcPr>
            <w:tcW w:w="1701" w:type="dxa"/>
            <w:vAlign w:val="center"/>
          </w:tcPr>
          <w:p w:rsidR="00767716" w:rsidRPr="005953A9" w:rsidRDefault="00767716" w:rsidP="00767716">
            <w:pPr>
              <w:spacing w:line="276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29 200.0</w:t>
            </w:r>
          </w:p>
        </w:tc>
        <w:tc>
          <w:tcPr>
            <w:tcW w:w="1383" w:type="dxa"/>
            <w:vAlign w:val="center"/>
          </w:tcPr>
          <w:p w:rsidR="00767716" w:rsidRPr="005953A9" w:rsidRDefault="00767716" w:rsidP="00767716">
            <w:pPr>
              <w:spacing w:line="276" w:lineRule="auto"/>
              <w:ind w:left="-4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2835" w:type="dxa"/>
            <w:vAlign w:val="center"/>
          </w:tcPr>
          <w:p w:rsidR="00767716" w:rsidRPr="005953A9" w:rsidRDefault="00767716" w:rsidP="00767716">
            <w:pPr>
              <w:spacing w:line="276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5953A9">
              <w:rPr>
                <w:rFonts w:cs="Sylfaen"/>
                <w:szCs w:val="18"/>
                <w:lang w:val="ka-GE"/>
              </w:rPr>
              <w:t>ნასყიდობის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5953A9">
              <w:rPr>
                <w:szCs w:val="18"/>
                <w:lang w:val="ka-GE"/>
              </w:rPr>
              <w:t xml:space="preserve"> 15 </w:t>
            </w:r>
            <w:r w:rsidRPr="005953A9">
              <w:rPr>
                <w:rFonts w:cs="Sylfaen"/>
                <w:szCs w:val="18"/>
                <w:lang w:val="ka-GE"/>
              </w:rPr>
              <w:t>კალენდარული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დღის</w:t>
            </w:r>
            <w:r w:rsidRPr="005953A9">
              <w:rPr>
                <w:szCs w:val="18"/>
                <w:lang w:val="ka-GE"/>
              </w:rPr>
              <w:t xml:space="preserve"> </w:t>
            </w:r>
            <w:r w:rsidRPr="005953A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</w:tbl>
    <w:p w:rsidR="00477254" w:rsidRDefault="00477254" w:rsidP="00767716">
      <w:pPr>
        <w:spacing w:line="276" w:lineRule="auto"/>
        <w:jc w:val="center"/>
        <w:rPr>
          <w:szCs w:val="18"/>
          <w:lang w:val="ka-GE"/>
        </w:rPr>
      </w:pPr>
    </w:p>
    <w:p w:rsidR="00767716" w:rsidRDefault="00767716" w:rsidP="009511B1">
      <w:pPr>
        <w:jc w:val="center"/>
        <w:rPr>
          <w:szCs w:val="18"/>
          <w:lang w:val="ka-GE"/>
        </w:rPr>
      </w:pPr>
    </w:p>
    <w:p w:rsidR="009511B1" w:rsidRDefault="009511B1" w:rsidP="009511B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9511B1" w:rsidSect="00767716">
      <w:pgSz w:w="15840" w:h="12240" w:orient="landscape"/>
      <w:pgMar w:top="426" w:right="814" w:bottom="284" w:left="2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86" w:rsidRDefault="00FE2986" w:rsidP="00A100A8">
      <w:pPr>
        <w:spacing w:line="240" w:lineRule="auto"/>
      </w:pPr>
      <w:r>
        <w:separator/>
      </w:r>
    </w:p>
  </w:endnote>
  <w:endnote w:type="continuationSeparator" w:id="0">
    <w:p w:rsidR="00FE2986" w:rsidRDefault="00FE2986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86" w:rsidRDefault="00FE2986" w:rsidP="00A100A8">
      <w:pPr>
        <w:spacing w:line="240" w:lineRule="auto"/>
      </w:pPr>
      <w:r>
        <w:separator/>
      </w:r>
    </w:p>
  </w:footnote>
  <w:footnote w:type="continuationSeparator" w:id="0">
    <w:p w:rsidR="00FE2986" w:rsidRDefault="00FE2986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7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238A"/>
    <w:rsid w:val="0005325D"/>
    <w:rsid w:val="000675CA"/>
    <w:rsid w:val="00080636"/>
    <w:rsid w:val="00081B04"/>
    <w:rsid w:val="00083AFD"/>
    <w:rsid w:val="000A12F3"/>
    <w:rsid w:val="00210D38"/>
    <w:rsid w:val="00237AD8"/>
    <w:rsid w:val="002766BD"/>
    <w:rsid w:val="002F04CD"/>
    <w:rsid w:val="003111C7"/>
    <w:rsid w:val="0032158A"/>
    <w:rsid w:val="003272FA"/>
    <w:rsid w:val="00446191"/>
    <w:rsid w:val="00477254"/>
    <w:rsid w:val="00490127"/>
    <w:rsid w:val="004C5E1D"/>
    <w:rsid w:val="005330AC"/>
    <w:rsid w:val="00560BDF"/>
    <w:rsid w:val="00570BC0"/>
    <w:rsid w:val="00590917"/>
    <w:rsid w:val="005953A9"/>
    <w:rsid w:val="005B4200"/>
    <w:rsid w:val="00667852"/>
    <w:rsid w:val="00686B8B"/>
    <w:rsid w:val="006A2E00"/>
    <w:rsid w:val="00702C08"/>
    <w:rsid w:val="00716349"/>
    <w:rsid w:val="00752A55"/>
    <w:rsid w:val="00767716"/>
    <w:rsid w:val="00815C49"/>
    <w:rsid w:val="00885804"/>
    <w:rsid w:val="008A7C40"/>
    <w:rsid w:val="008B7628"/>
    <w:rsid w:val="008F09CF"/>
    <w:rsid w:val="009511B1"/>
    <w:rsid w:val="009D1189"/>
    <w:rsid w:val="009E22F2"/>
    <w:rsid w:val="00A100A8"/>
    <w:rsid w:val="00AF788E"/>
    <w:rsid w:val="00B10D5D"/>
    <w:rsid w:val="00B41EDE"/>
    <w:rsid w:val="00B54917"/>
    <w:rsid w:val="00B62306"/>
    <w:rsid w:val="00B6479A"/>
    <w:rsid w:val="00B76AC1"/>
    <w:rsid w:val="00BD6B07"/>
    <w:rsid w:val="00C26997"/>
    <w:rsid w:val="00D0083F"/>
    <w:rsid w:val="00D83EB1"/>
    <w:rsid w:val="00DA5582"/>
    <w:rsid w:val="00F065AF"/>
    <w:rsid w:val="00F41378"/>
    <w:rsid w:val="00F66072"/>
    <w:rsid w:val="00FC3FEA"/>
    <w:rsid w:val="00FC4C5C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1BB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table" w:styleId="TableGrid">
    <w:name w:val="Table Grid"/>
    <w:basedOn w:val="TableNormal"/>
    <w:uiPriority w:val="39"/>
    <w:rsid w:val="00477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78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AF788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24</cp:revision>
  <cp:lastPrinted>2021-05-13T07:08:00Z</cp:lastPrinted>
  <dcterms:created xsi:type="dcterms:W3CDTF">2019-12-17T13:13:00Z</dcterms:created>
  <dcterms:modified xsi:type="dcterms:W3CDTF">2021-05-13T07:09:00Z</dcterms:modified>
</cp:coreProperties>
</file>